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700"/>
        <w:jc w:val="center"/>
      </w:pPr>
      <w:r>
        <w:rPr>
          <w:b/>
          <w:color w:val="17365D"/>
          <w:sz w:val="30"/>
        </w:rPr>
        <w:t>BOARD GOVERNANCE</w:t>
      </w:r>
    </w:p>
    <w:p>
      <w:pPr>
        <w:pStyle w:val="Title"/>
        <w:jc w:val="center"/>
      </w:pPr>
      <w:r>
        <w:t>Board Anti Corruption Oversight Checklist</w:t>
      </w:r>
    </w:p>
    <w:p>
      <w:pPr>
        <w:pStyle w:val="Subtitle"/>
        <w:jc w:val="center"/>
      </w:pPr>
      <w:r>
        <w:t>A practical governance tool for challenging management, reviewing evidence and recording board decisions</w:t>
      </w:r>
    </w:p>
    <w:p>
      <w:pPr>
        <w:spacing w:before="700"/>
        <w:jc w:val="center"/>
      </w:pPr>
      <w:r>
        <w:rPr>
          <w:b/>
        </w:rPr>
        <w:t>Organisation name</w:t>
        <w:br/>
      </w:r>
      <w:r>
        <w:t>__________________________________________________</w:t>
        <w:br/>
        <w:br/>
      </w:r>
      <w:r>
        <w:rPr>
          <w:b/>
        </w:rPr>
        <w:t>Review period</w:t>
        <w:br/>
      </w:r>
      <w:r>
        <w:t>__________________________________________________</w:t>
        <w:br/>
        <w:br/>
      </w:r>
      <w:r>
        <w:rPr>
          <w:b/>
        </w:rPr>
        <w:t>Board or committee</w:t>
        <w:br/>
      </w:r>
      <w:r>
        <w:t>__________________________________________________</w:t>
      </w:r>
    </w:p>
    <w:p>
      <w:pPr>
        <w:spacing w:before="1500"/>
        <w:jc w:val="center"/>
      </w:pPr>
      <w:r>
        <w:rPr>
          <w:i/>
        </w:rPr>
        <w:t>Confidentiality classification: ______________________________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324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69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Document reference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Version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Status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Document owner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Board or committee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Approved by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Approval date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Next review date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Confidentiality classification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Version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Version</w:t>
            </w:r>
          </w:p>
        </w:tc>
        <w:tc>
          <w:tcPr>
            <w:tcW w:type="dxa" w:w="115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type="dxa" w:w="165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Author</w:t>
            </w:r>
          </w:p>
        </w:tc>
        <w:tc>
          <w:tcPr>
            <w:tcW w:type="dxa" w:w="489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Change</w:t>
            </w:r>
          </w:p>
        </w:tc>
        <w:tc>
          <w:tcPr>
            <w:tcW w:type="dxa" w:w="129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Approval</w:t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48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48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48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48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48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Review Sign Off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8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type="dxa" w:w="244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Name</w:t>
            </w:r>
          </w:p>
        </w:tc>
        <w:tc>
          <w:tcPr>
            <w:tcW w:type="dxa" w:w="28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Signature</w:t>
            </w:r>
          </w:p>
        </w:tc>
        <w:tc>
          <w:tcPr>
            <w:tcW w:type="dxa" w:w="17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Board chair</w:t>
            </w:r>
          </w:p>
        </w:tc>
        <w:tc>
          <w:tcPr>
            <w:tcW w:type="dxa" w:w="24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Committee chair</w:t>
            </w:r>
          </w:p>
        </w:tc>
        <w:tc>
          <w:tcPr>
            <w:tcW w:type="dxa" w:w="24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Company secretary</w:t>
            </w:r>
          </w:p>
        </w:tc>
        <w:tc>
          <w:tcPr>
            <w:tcW w:type="dxa" w:w="24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Compliance lead</w:t>
            </w:r>
          </w:p>
        </w:tc>
        <w:tc>
          <w:tcPr>
            <w:tcW w:type="dxa" w:w="24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How to Use This Checklist</w:t>
      </w:r>
    </w:p>
    <w:p>
      <w:r>
        <w:t>This checklist helps a board or delegated board committee exercise active oversight of corruption risk. It is designed to support informed challenge, documented decisions and follow-through. It does not transfer management responsibility to the board, replace independent assurance, or constitute legal advice. The organisation should adapt it to its governing documents, applicable law, sector and risk profile.</w:t>
      </w:r>
    </w:p>
    <w:p>
      <w:pPr>
        <w:pStyle w:val="Heading2"/>
      </w:pPr>
      <w:r>
        <w:t>Recommended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58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Timing</w:t>
            </w:r>
          </w:p>
        </w:tc>
        <w:tc>
          <w:tcPr>
            <w:tcW w:type="dxa" w:w="561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Board use</w:t>
            </w:r>
          </w:p>
        </w:tc>
        <w:tc>
          <w:tcPr>
            <w:tcW w:type="dxa" w:w="27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Expected output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At least annually</w:t>
            </w:r>
          </w:p>
        </w:tc>
        <w:tc>
          <w:tcPr>
            <w:tcW w:type="dxa" w:w="56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Complete the full checklist and approve the annual anti-corruption oversight conclusion.</w:t>
            </w:r>
          </w:p>
        </w:tc>
        <w:tc>
          <w:tcPr>
            <w:tcW w:type="dxa" w:w="27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Annual board assessment and priorities.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Quarterly or each scheduled meeting</w:t>
            </w:r>
          </w:p>
        </w:tc>
        <w:tc>
          <w:tcPr>
            <w:tcW w:type="dxa" w:w="56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Review the dashboard, incidents, control failures, high-risk third parties and overdue actions.</w:t>
            </w:r>
          </w:p>
        </w:tc>
        <w:tc>
          <w:tcPr>
            <w:tcW w:type="dxa" w:w="27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Minutes, decisions and escalation.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After a material event</w:t>
            </w:r>
          </w:p>
        </w:tc>
        <w:tc>
          <w:tcPr>
            <w:tcW w:type="dxa" w:w="56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Use relevant sections after an allegation, enforcement event, acquisition, market entry or control failure.</w:t>
            </w:r>
          </w:p>
        </w:tc>
        <w:tc>
          <w:tcPr>
            <w:tcW w:type="dxa" w:w="27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Focused challenge and remedial direction.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Before major decisions</w:t>
            </w:r>
          </w:p>
        </w:tc>
        <w:tc>
          <w:tcPr>
            <w:tcW w:type="dxa" w:w="56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Apply enhanced scrutiny to high-risk transactions, markets, partners or public-sector exposure.</w:t>
            </w:r>
          </w:p>
        </w:tc>
        <w:tc>
          <w:tcPr>
            <w:tcW w:type="dxa" w:w="27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Recorded approval, conditions or rejection.</w:t>
            </w:r>
          </w:p>
        </w:tc>
      </w:tr>
    </w:tbl>
    <w:p>
      <w:pPr>
        <w:spacing w:after="20"/>
      </w:pPr>
    </w:p>
    <w:p>
      <w:pPr>
        <w:pStyle w:val="Heading2"/>
      </w:pPr>
      <w:r>
        <w:t>Response Scale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15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Response</w:t>
            </w:r>
          </w:p>
        </w:tc>
        <w:tc>
          <w:tcPr>
            <w:tcW w:type="dxa" w:w="46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Meaning</w:t>
            </w:r>
          </w:p>
        </w:tc>
        <w:tc>
          <w:tcPr>
            <w:tcW w:type="dxa" w:w="417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Board action</w:t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Yes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Requirement is fully met and supported by current, reliable evidence.</w:t>
            </w:r>
          </w:p>
        </w:tc>
        <w:tc>
          <w:tcPr>
            <w:tcW w:type="dxa" w:w="41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Record evidence and maintain oversight.</w:t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7"/>
              </w:rPr>
              <w:t>Partial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7"/>
              </w:rPr>
              <w:t>Some elements exist, but gaps, inconsistent operation or weak evidence remain.</w:t>
            </w:r>
          </w:p>
        </w:tc>
        <w:tc>
          <w:tcPr>
            <w:tcW w:type="dxa" w:w="41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7"/>
              </w:rPr>
              <w:t>Assign a specific action, owner and deadline.</w:t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No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Requirement is absent, ineffective or materially unsupported.</w:t>
            </w:r>
          </w:p>
        </w:tc>
        <w:tc>
          <w:tcPr>
            <w:tcW w:type="dxa" w:w="41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Escalate; consider interim restrictions or safeguards.</w:t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7"/>
              </w:rPr>
              <w:t>N/A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7"/>
              </w:rPr>
              <w:t>Not applicable for a documented and credible reason.</w:t>
            </w:r>
          </w:p>
        </w:tc>
        <w:tc>
          <w:tcPr>
            <w:tcW w:type="dxa" w:w="41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7"/>
              </w:rPr>
              <w:t>Record the rationale and confirm it remains valid.</w:t>
            </w:r>
          </w:p>
        </w:tc>
      </w:tr>
    </w:tbl>
    <w:p>
      <w:pPr>
        <w:spacing w:after="20"/>
      </w:pPr>
    </w:p>
    <w:p>
      <w:pPr>
        <w:pStyle w:val="Heading2"/>
      </w:pPr>
      <w:r>
        <w:t>Board Review Principles</w:t>
      </w:r>
    </w:p>
    <w:p>
      <w:pPr>
        <w:pStyle w:val="ListBullet"/>
        <w:spacing w:after="60"/>
        <w:ind w:left="360"/>
      </w:pPr>
      <w:r>
        <w:t>Ask what evidence demonstrates that controls operate, not merely whether policies exist.</w:t>
      </w:r>
    </w:p>
    <w:p>
      <w:pPr>
        <w:pStyle w:val="ListBullet"/>
        <w:spacing w:after="60"/>
        <w:ind w:left="360"/>
      </w:pPr>
      <w:r>
        <w:t>Distinguish inherent risk, control effectiveness and residual exposure.</w:t>
      </w:r>
    </w:p>
    <w:p>
      <w:pPr>
        <w:pStyle w:val="ListBullet"/>
        <w:spacing w:after="60"/>
        <w:ind w:left="360"/>
      </w:pPr>
      <w:r>
        <w:t>Challenge optimistic ratings, unexplained trends and long-overdue actions.</w:t>
      </w:r>
    </w:p>
    <w:p>
      <w:pPr>
        <w:pStyle w:val="ListBullet"/>
        <w:spacing w:after="60"/>
        <w:ind w:left="360"/>
      </w:pPr>
      <w:r>
        <w:t>Protect the independence of compliance, internal audit and investigations.</w:t>
      </w:r>
    </w:p>
    <w:p>
      <w:pPr>
        <w:pStyle w:val="ListBullet"/>
        <w:spacing w:after="60"/>
        <w:ind w:left="360"/>
      </w:pPr>
      <w:r>
        <w:t>Manage board members’ own conflicts and recuse affected directors.</w:t>
      </w:r>
    </w:p>
    <w:p>
      <w:pPr>
        <w:pStyle w:val="ListBullet"/>
        <w:spacing w:after="60"/>
        <w:ind w:left="360"/>
      </w:pPr>
      <w:r>
        <w:t>Ensure suspected misconduct is handled through authorised legal, investigation and reporting processes.</w:t>
      </w:r>
    </w:p>
    <w:p>
      <w:pPr>
        <w:pStyle w:val="Heading1"/>
      </w:pPr>
      <w:r>
        <w:t>Section 1 Board Mandate and Accountability</w:t>
      </w:r>
    </w:p>
    <w:p>
      <w:pPr>
        <w:pStyle w:val="Heading2"/>
      </w:pPr>
      <w:r>
        <w:t>1.1 Oversight Mandate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board’s responsibility for anti-corruption oversight is stated in the board or committee charter.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The division of responsibility among the board, audit committee, risk committee and other committees is clear.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remains accountable for designing and operating the programme.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receives matters directly from compliance, legal, internal audit and speak-up functions when necessary.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has authority to obtain independent advice and commission assurance.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Reporting thresholds for material incidents, investigations and control failures are defined.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reviews the mandate when governance, regulation or organisational structure changes.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1.2 Director Responsibility and Conflicts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Directors receive induction and periodic training on corruption risks and oversight duties.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Directors declare actual, potential and perceived conflicts before relevant discussions.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A conflicted director is excluded from papers, discussion and decision-making where appropriate.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Related-party interests of directors and senior executives are recorded and independently reviewed.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Minutes document declarations, recusals and safeguards.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The board periodically evaluates whether it has sufficient compliance, financial crime and sector expertise.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1.3 Responsibility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316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Oversight matter</w:t>
            </w:r>
          </w:p>
        </w:tc>
        <w:tc>
          <w:tcPr>
            <w:tcW w:type="dxa" w:w="144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Full board</w:t>
            </w:r>
          </w:p>
        </w:tc>
        <w:tc>
          <w:tcPr>
            <w:tcW w:type="dxa" w:w="180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Committee</w:t>
            </w:r>
          </w:p>
        </w:tc>
        <w:tc>
          <w:tcPr>
            <w:tcW w:type="dxa" w:w="223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Management owner</w:t>
            </w:r>
          </w:p>
        </w:tc>
        <w:tc>
          <w:tcPr>
            <w:tcW w:type="dxa" w:w="129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Reporting frequency</w:t>
            </w:r>
          </w:p>
        </w:tc>
      </w:tr>
      <w:tr>
        <w:trPr>
          <w:cantSplit/>
        </w:trPr>
        <w:tc>
          <w:tcPr>
            <w:tcW w:type="dxa" w:w="31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Risk appetite and strategy</w:t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Programme effectiveness</w:t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Material investigations</w:t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High-risk third parties</w:t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Speak-up and retaliation</w:t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Remediation and assurance</w:t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2 Leadership Culture and Conduct</w:t>
      </w:r>
    </w:p>
    <w:p>
      <w:pPr>
        <w:pStyle w:val="Heading2"/>
      </w:pPr>
      <w:r>
        <w:t>2.1 Tone and Conduct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and senior leaders communicate a clear prohibition on bribery, kickbacks, facilitation payments and retaliation.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Leaders’ decisions are consistent with stated values when commercial pressure is high.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No employee, executive or revenue producer is treated as above the rules.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reviews culture indicators, employee feedback and evidence of fear or silence.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explains how incentives and targets are tested for unintended misconduct pressure.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The board challenges the use of vague exceptions, informal influence and repeated override.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Consequences for misconduct are consistent across seniority, status and financial performance.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Positive conduct and speaking up are recognised without compromising confidentiality.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2.2 Senior Management Accountability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Anti-corruption objectives are assigned to named executives.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Executive performance evaluation includes control and conduct outcomes, not only financial results.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certifies the completeness and accuracy of information presented to the board.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Known weaknesses and adverse findings are disclosed without delay.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Accountability is assigned for recurring issues and failed remediation.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Succession and appointment decisions consider integrity and compliance history.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2.3 Board Challenge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87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Issue challenged</w:t>
            </w:r>
          </w:p>
        </w:tc>
        <w:tc>
          <w:tcPr>
            <w:tcW w:type="dxa" w:w="201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Management response</w:t>
            </w:r>
          </w:p>
        </w:tc>
        <w:tc>
          <w:tcPr>
            <w:tcW w:type="dxa" w:w="180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requested</w:t>
            </w:r>
          </w:p>
        </w:tc>
        <w:tc>
          <w:tcPr>
            <w:tcW w:type="dxa" w:w="187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Decision or action</w:t>
            </w:r>
          </w:p>
        </w:tc>
        <w:tc>
          <w:tcPr>
            <w:tcW w:type="dxa" w:w="7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Owner</w:t>
            </w:r>
          </w:p>
        </w:tc>
        <w:tc>
          <w:tcPr>
            <w:tcW w:type="dxa" w:w="7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Due date</w:t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3 Corruption Risk Governance</w:t>
      </w:r>
    </w:p>
    <w:p>
      <w:pPr>
        <w:pStyle w:val="Heading2"/>
      </w:pPr>
      <w:r>
        <w:t>3.1 Risk Assessment Oversight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reviews an organisation-wide corruption risk assessment at an approved frequency.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The assessment covers entities, locations, functions, transactions, projects and relevant third parties.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It considers bribery, kickbacks, conflicts, procurement manipulation, donations, fraud concealment and retaliation.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Public-official touchpoints and high-risk jurisdictions receive enhanced attention.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Inherent risk is assessed without giving credit for controls.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Residual-risk ratings are supported by control testing and evidence.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Uncertainty, data gaps and management disagreement are visible.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Risk owners have accepted accountability for each material exposure.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9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Independent assurance challenges methodology and major conclusions.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10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Reassessment is triggered after incidents, acquisitions, market entry, restructuring or legal change.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3.2 Risk Appetite and Acceptance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has approved clear intolerance or appetite statements for corruption-related conduct.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cannot accept a material risk outside its delegated authority.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Risk-acceptance decisions include rationale, approver, expiry date and monitoring.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Illegal conduct is never treated as an acceptable business risk.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Extreme or high residual risks receive time-bound treatment and interim safeguards.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Repeated extensions of remediation deadlines receive explicit board scrutiny.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3.3 Top Risk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271"/>
        <w:gridCol w:w="1271"/>
        <w:gridCol w:w="1271"/>
        <w:gridCol w:w="1271"/>
        <w:gridCol w:w="1271"/>
        <w:gridCol w:w="1271"/>
        <w:gridCol w:w="1271"/>
        <w:gridCol w:w="1271"/>
      </w:tblGrid>
      <w:tr>
        <w:trPr>
          <w:tblHeader w:val="true"/>
          <w:cantSplit/>
        </w:trPr>
        <w:tc>
          <w:tcPr>
            <w:tcW w:type="dxa" w:w="64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Risk ID</w:t>
            </w:r>
          </w:p>
        </w:tc>
        <w:tc>
          <w:tcPr>
            <w:tcW w:type="dxa" w:w="28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Risk scenario</w:t>
            </w:r>
          </w:p>
        </w:tc>
        <w:tc>
          <w:tcPr>
            <w:tcW w:type="dxa" w:w="10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Inherent rating</w:t>
            </w:r>
          </w:p>
        </w:tc>
        <w:tc>
          <w:tcPr>
            <w:tcW w:type="dxa" w:w="151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Control conclusion</w:t>
            </w:r>
          </w:p>
        </w:tc>
        <w:tc>
          <w:tcPr>
            <w:tcW w:type="dxa" w:w="10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Residual rating</w:t>
            </w:r>
          </w:p>
        </w:tc>
        <w:tc>
          <w:tcPr>
            <w:tcW w:type="dxa" w:w="115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Appetite status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Owner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Next review</w:t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4 Anti Corruption Programme Framework</w:t>
      </w:r>
    </w:p>
    <w:p>
      <w:pPr>
        <w:pStyle w:val="Heading2"/>
      </w:pPr>
      <w:r>
        <w:t>4.1 Policies and Standards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code of conduct and anti-corruption policy are current, accessible and approved at the appropriate level.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Policies define bribery, kickbacks, facilitation payments, conflicts and improper advantages in practical terms.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Rules cover employees, directors, temporary workers and relevant third parties.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Gifts, hospitality, travel, donations, sponsorships and political activity are controlled.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Books and records must accurately describe purpose, value and beneficiary.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Exceptions are restricted, documented, approved and monitored for patterns.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Employees periodically attest to understanding and compliance.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Policy breaches lead to consistent and documented consequences.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4.2 Programme Governance and Resources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A senior person has clear accountability for the anti-corruption programme.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Compliance has sufficient authority, independence, competence, technology and budget.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compliance lead has direct and unrestricted access to the relevant board committee.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Legal advice does not improperly prevent reporting of compliance concerns to the board.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Roles across compliance, legal, risk, finance, procurement, HR and audit are coordinated.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Programme resources reflect the organisation’s actual risk profile and growth plans.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Material vacancies, capacity constraints and system limitations are reported to the board.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4.3 Programme Improvement Log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7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Priority</w:t>
            </w:r>
          </w:p>
        </w:tc>
        <w:tc>
          <w:tcPr>
            <w:tcW w:type="dxa" w:w="237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Gap</w:t>
            </w:r>
          </w:p>
        </w:tc>
        <w:tc>
          <w:tcPr>
            <w:tcW w:type="dxa" w:w="237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direction</w:t>
            </w:r>
          </w:p>
        </w:tc>
        <w:tc>
          <w:tcPr>
            <w:tcW w:type="dxa" w:w="151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Management owner</w:t>
            </w:r>
          </w:p>
        </w:tc>
        <w:tc>
          <w:tcPr>
            <w:tcW w:type="dxa" w:w="115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Resources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Due date</w:t>
            </w:r>
          </w:p>
        </w:tc>
        <w:tc>
          <w:tcPr>
            <w:tcW w:type="dxa" w:w="7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3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1"/>
      </w:pPr>
      <w:r>
        <w:t>Section 5 Third Party Oversight</w:t>
      </w:r>
    </w:p>
    <w:p>
      <w:pPr>
        <w:pStyle w:val="Heading2"/>
      </w:pPr>
      <w:r>
        <w:t>5.1 Risk Based Due Diligence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Third parties are risk-classified before engagement and before sensitive work begins.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Identity and beneficial ownership are independently verified.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Public-official, employee, customer and political connections are checked and disclosed.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Capability, qualifications, reputation and business rationale are documented.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High-risk parties receive enhanced due diligence and independent approval.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Unresolved red flags are escalated; they are not cleared solely by the business sponsor.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Due diligence is refreshed when ownership, scope, location, compensation or risk changes.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receives visibility over material high-risk third parties and exceptions.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5.2 Contracting Payment and Monitoring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Contracts define services, compensation, compliance duties, audit rights and termination rights.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Fees and commissions are commercially reasonable and proportionate to verified services.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Payments are made to the contracted party in an appropriate jurisdiction and account.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Deliverables are verified before payment.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Subagents and subcontractors require approval and equivalent controls.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Ongoing monitoring identifies adverse media, ownership change, unusual invoices and payment requests.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Terminated or rejected parties cannot be reintroduced under a different name without review.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reports third-party control failures and overdue reviews to the board.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5.3 High Risk Third Party Dashboard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94"/>
        <w:gridCol w:w="1694"/>
        <w:gridCol w:w="1694"/>
        <w:gridCol w:w="1694"/>
        <w:gridCol w:w="1694"/>
        <w:gridCol w:w="1694"/>
      </w:tblGrid>
      <w:tr>
        <w:trPr>
          <w:tblHeader w:val="true"/>
          <w:cantSplit/>
        </w:trPr>
        <w:tc>
          <w:tcPr>
            <w:tcW w:type="dxa" w:w="360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Metric</w:t>
            </w:r>
          </w:p>
        </w:tc>
        <w:tc>
          <w:tcPr>
            <w:tcW w:type="dxa" w:w="10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Current</w:t>
            </w:r>
          </w:p>
        </w:tc>
        <w:tc>
          <w:tcPr>
            <w:tcW w:type="dxa" w:w="10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Prior</w:t>
            </w:r>
          </w:p>
        </w:tc>
        <w:tc>
          <w:tcPr>
            <w:tcW w:type="dxa" w:w="115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Threshold</w:t>
            </w:r>
          </w:p>
        </w:tc>
        <w:tc>
          <w:tcPr>
            <w:tcW w:type="dxa" w:w="86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Trend</w:t>
            </w:r>
          </w:p>
        </w:tc>
        <w:tc>
          <w:tcPr>
            <w:tcW w:type="dxa" w:w="23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Board comment</w:t>
            </w:r>
          </w:p>
        </w:tc>
      </w:tr>
      <w:tr>
        <w:trPr>
          <w:cantSplit/>
        </w:trPr>
        <w:tc>
          <w:tcPr>
            <w:tcW w:type="dxa" w:w="36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Number of high-risk third parties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Due diligence overdue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Open red flags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Engaged before approval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Payments under exception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Contracts lacking audit rights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6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Terminations for integrity reasons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6 Financial and Commercial Controls</w:t>
      </w:r>
    </w:p>
    <w:p>
      <w:pPr>
        <w:pStyle w:val="Heading2"/>
      </w:pPr>
      <w:r>
        <w:t>6.1 Books Records and Payments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Transactions are accurately recorded with clear purpose and true beneficiary.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Segregation of duties covers vendor creation, approval, receipt, payment and recording.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Vendor and employee bank-account changes are independently verified.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Cash, advances, manual journals, suspense accounts and write-offs receive enhanced review.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Systems detect duplicate, round-sum, split and threshold-adjacent transactions.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Payment outside contract terms, to another party or another country requires documented escalation.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override and emergency approvals are logged and independently reviewed.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Finance reports significant exceptions and data-quality limitations to the board.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6.2 Procurement and Contracting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Open and genuine competition is the default.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Sole-source and emergency procurement is justified and independently reviewed.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Specifications, bidder communication, evaluation and award are controlled and traceable.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Decision-makers disclose conflicts before accessing information or scoring bids.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Bidder ownership, addresses, contacts and bank accounts are analysed for undisclosed links.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Contract variations, extensions and cumulative spend are monitored.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Goods, services and project milestones are independently confirmed before payment.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Repeated awards, complaints and unusual pricing patterns receive analysis.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6.3 Sales Customers and Intermediaries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Discounts, rebates, credits, commissions and success fees have clear approval rules.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Sales incentives do not reward unverified or improperly obtained results.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Public-sector sales and licensing touchpoints receive enhanced controls.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Customer onboarding identifies beneficial ownership and politically exposed connections where relevant.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Unusual payment routes, overpayments and refund requests are investigated.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Intermediaries cannot provide gifts, payments or benefits that employees are prohibited from providing.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7 Conflicts Gifts Donations and Political Exposure</w:t>
      </w:r>
    </w:p>
    <w:p>
      <w:pPr>
        <w:pStyle w:val="Heading2"/>
      </w:pPr>
      <w:r>
        <w:t>7.1 Conflicts of Interest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Directors, executives and relevant employees make periodic and event-driven declarations.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Declarations cover ownership, family, close relationships, outside roles and financial interests.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Conflicts are checked at the point of procurement, recruitment, investment and other decisions.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plans remove the conflicted person from access, influence and approval where necessary.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Supplier ownership is screened against directors, employees and decision-makers.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Non-disclosure is investigated and sanctioned consistently.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reviews material conflicts involving senior leaders and directors.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7.2 Gifts Hospitality and Travel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Prohibited benefits and monetary thresholds are clear.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Cash, cash equivalents, personal benefits and decision-linked benefits are prohibited.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Public-official benefits receive enhanced legal and compliance review.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Repeated low-value benefits are aggregated and monitored.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register records giver, recipient, purpose, timing, value and decision context.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analyses trends involving repeat parties, approvers and high-risk periods.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Board members comply with the same or stricter disclosure requirements.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7.3 Donations Sponsorships and Political Activity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has approved rules for charitable donations, sponsorships and political activity.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Recipients, leadership, ownership and official connections are verified.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Payments are not linked to tenders, licences, inspections or other decisions.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Cash, personal accounts and pass-through arrangements are prohibited.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Use of funds and promised deliverables are verified.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Material or sensitive contributions receive independent approval.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receives reports on geographic concentration, official referrals and exceptions.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8 Training Communication and Incentives</w:t>
      </w:r>
    </w:p>
    <w:p>
      <w:pPr>
        <w:pStyle w:val="Heading2"/>
      </w:pPr>
      <w:r>
        <w:t>8.1 Training and Communication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Training is tailored to directors, executives, employees and high-risk roles.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Content uses realistic scenarios involving the organisation’s actual risks.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Understanding is tested; attendance alone is not treated as proof of effectiveness.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Training is delivered before high-risk duties and refreshed periodically.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Relevant third parties receive or certify appropriate training.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Advice channels are accessible and questions are analysed for recurring confusion.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Policies and reporting channels are available in appropriate languages and formats.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Effectiveness measures are reported to the board.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8.2 Incentives and Consequences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Variable pay and targets are assessed for misconduct pressure.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Control performance and leadership conduct affect executive evaluation and reward.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Bonuses can be adjusted, withheld or recovered where policy and law permit.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Disciplinary decisions are consistent across grade, geography and performance.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Managers are accountable for ignoring red flags or suppressing concerns.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reviews anonymised disciplinary trends and significant senior cases.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8.3 Training Dashboard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17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Population</w:t>
            </w:r>
          </w:p>
        </w:tc>
        <w:tc>
          <w:tcPr>
            <w:tcW w:type="dxa" w:w="10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Required</w:t>
            </w:r>
          </w:p>
        </w:tc>
        <w:tc>
          <w:tcPr>
            <w:tcW w:type="dxa" w:w="115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Completed</w:t>
            </w:r>
          </w:p>
        </w:tc>
        <w:tc>
          <w:tcPr>
            <w:tcW w:type="dxa" w:w="10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Overdue</w:t>
            </w:r>
          </w:p>
        </w:tc>
        <w:tc>
          <w:tcPr>
            <w:tcW w:type="dxa" w:w="17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Knowledge result</w:t>
            </w:r>
          </w:p>
        </w:tc>
        <w:tc>
          <w:tcPr>
            <w:tcW w:type="dxa" w:w="115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Exceptions</w:t>
            </w:r>
          </w:p>
        </w:tc>
        <w:tc>
          <w:tcPr>
            <w:tcW w:type="dxa" w:w="208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Board comment</w:t>
            </w:r>
          </w:p>
        </w:tc>
      </w:tr>
      <w:tr>
        <w:trPr>
          <w:cantSplit/>
        </w:trPr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Board</w:t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Executives</w:t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High-risk employees</w:t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Other employees</w:t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Relevant third parties</w:t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</w:tbl>
    <w:p>
      <w:pPr>
        <w:spacing w:after="20"/>
      </w:pPr>
    </w:p>
    <w:p>
      <w:pPr>
        <w:pStyle w:val="Heading1"/>
      </w:pPr>
      <w:r>
        <w:t>Section 9 Speak Up Investigations and Remediation</w:t>
      </w:r>
    </w:p>
    <w:p>
      <w:pPr>
        <w:pStyle w:val="Heading2"/>
      </w:pPr>
      <w:r>
        <w:t>9.1 Speak Up and Non Retaliation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Employees and relevant third parties can report confidentially through multiple accessible channels.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Anonymous reporting is available where lawful and appropriate.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Reports can bypass local management and reach independent functions.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Non-retaliation rules are actively enforced and monitored.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Reporter identity and case information are restricted to authorised persons.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Triage criteria, conflicts and case ownership are documented.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receives trend data without compromising confidentiality.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Low reporting levels are not automatically interpreted as low misconduct.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9.2 Investigations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Investigations are authorised, independent, competent and appropriately scoped.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Potential conflicts involving investigators, management or directors are managed.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Evidence is preserved and data protection, employment and reporting duties are considered.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cannot close or narrow a material case without appropriate oversight.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Findings distinguish facts, limitations and unsubstantiated allegations.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Material cases and delays are escalated to the board under defined thresholds.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can obtain independent investigation support when senior management is implicated.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9.3 Remediation and Consequences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Substantiated cases lead to individual accountability and root-cause analysis.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Control gaps are assigned to named owners with deadlines and interim safeguards.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Financial recovery, contract remedies and external reporting are considered.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Related transactions, parties and periods are reviewed for wider exposure.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Actions are closed only after evidence and independent verification.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Risk assessments, training and monitoring are updated following lessons learned.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9.4 Case Oversight Log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271"/>
        <w:gridCol w:w="1271"/>
        <w:gridCol w:w="1271"/>
        <w:gridCol w:w="1271"/>
        <w:gridCol w:w="1271"/>
        <w:gridCol w:w="1271"/>
        <w:gridCol w:w="1271"/>
        <w:gridCol w:w="1271"/>
      </w:tblGrid>
      <w:tr>
        <w:trPr>
          <w:tblHeader w:val="true"/>
          <w:cantSplit/>
        </w:trPr>
        <w:tc>
          <w:tcPr>
            <w:tcW w:type="dxa" w:w="7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Case ref</w:t>
            </w:r>
          </w:p>
        </w:tc>
        <w:tc>
          <w:tcPr>
            <w:tcW w:type="dxa" w:w="144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Category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Opened</w:t>
            </w:r>
          </w:p>
        </w:tc>
        <w:tc>
          <w:tcPr>
            <w:tcW w:type="dxa" w:w="10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72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Age</w:t>
            </w:r>
          </w:p>
        </w:tc>
        <w:tc>
          <w:tcPr>
            <w:tcW w:type="dxa" w:w="17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Senior person involved</w:t>
            </w:r>
          </w:p>
        </w:tc>
        <w:tc>
          <w:tcPr>
            <w:tcW w:type="dxa" w:w="115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Materiality</w:t>
            </w:r>
          </w:p>
        </w:tc>
        <w:tc>
          <w:tcPr>
            <w:tcW w:type="dxa" w:w="187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action</w:t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1"/>
      </w:pPr>
      <w:r>
        <w:t>Section 10 Monitoring Assurance and Reporting</w:t>
      </w:r>
    </w:p>
    <w:p>
      <w:pPr>
        <w:pStyle w:val="Heading2"/>
      </w:pPr>
      <w:r>
        <w:t>10.1 Compliance Monitoring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A risk-based monitoring plan tests priority controls and transactions.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Data analytics covers relevant populations and known red-flag patterns.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Monitoring results distinguish isolated error from systemic failure.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Exceptions are investigated, resolved and linked to risk ratings.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reports data gaps and systems that prevent effective monitoring.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Repeated findings trigger stronger action and escalation.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10.2 Internal Audit and Independent Assurance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Internal audit independently assesses the anti-corruption framework and high-risk processes.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Audit scope reflects risk rather than relying only on management requests.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Auditors have unrestricted access to records and relevant personnel.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reviews significant findings, management disagreement and overdue actions.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Programme effectiveness is periodically assessed by suitably qualified independent reviewers.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Assurance providers coordinate without compromising independence.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evaluates whether assurance is sufficient, competent and evidence-based.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10.3 Board Reporting Quality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Reports are timely, concise and sufficiently detailed for decision-making.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Dashboards include current, prior, target and trend information.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explains rating changes and adverse trends.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Reports include incidents, allegations, control failures, exceptions and overdue actions.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Information is segmented by location, business unit, risk type and seniority where useful.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The board receives evidence of effectiveness, not activity counts alone.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Management certifies report completeness and identifies known limitations.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11 Board Dashboard</w:t>
      </w:r>
    </w:p>
    <w:p>
      <w:pPr>
        <w:pStyle w:val="Heading2"/>
      </w:pPr>
      <w:r>
        <w:t>11.1 Core Metrics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216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Metric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Current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Previous</w:t>
            </w:r>
          </w:p>
        </w:tc>
        <w:tc>
          <w:tcPr>
            <w:tcW w:type="dxa" w:w="144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Appetite or threshold</w:t>
            </w:r>
          </w:p>
        </w:tc>
        <w:tc>
          <w:tcPr>
            <w:tcW w:type="dxa" w:w="72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Trend</w:t>
            </w:r>
          </w:p>
        </w:tc>
        <w:tc>
          <w:tcPr>
            <w:tcW w:type="dxa" w:w="223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Management explanation</w:t>
            </w:r>
          </w:p>
        </w:tc>
        <w:tc>
          <w:tcPr>
            <w:tcW w:type="dxa" w:w="151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Board decision</w:t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Extreme residual risks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  <w:t>High residual risks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Risks outside appetite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  <w:t>Material allegations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Substantiated cases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  <w:t>Retaliation allegations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High-risk third-party red flags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  <w:t>Control tests failed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Overdue high-priority actions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  <w:t>Policy exceptions and overrides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Sole-source procurement rate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  <w:t>Gifts or donations exceptions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  <w:t>Training overdue in high-risk roles</w:t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11.2 Required Narrative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324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69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Material change since last meeting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New or emerging risks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Significant control failure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Incidents and investigations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High-risk third-party development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Actions overdue or extended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Data or assurance limitation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Decision required from the board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</w:tbl>
    <w:p>
      <w:pPr>
        <w:spacing w:after="20"/>
      </w:pPr>
    </w:p>
    <w:p>
      <w:pPr>
        <w:pStyle w:val="Heading1"/>
      </w:pPr>
      <w:r>
        <w:t>Section 12 Board Meeting Review Pack</w:t>
      </w:r>
    </w:p>
    <w:p>
      <w:pPr>
        <w:pStyle w:val="Heading2"/>
      </w:pPr>
      <w:r>
        <w:t>12.1 Pre Meeting Information Request</w:t>
      </w:r>
    </w:p>
    <w:p>
      <w:r>
        <w:t>☐ Current corruption risk profile and changes since the previous meeting.</w:t>
      </w:r>
    </w:p>
    <w:p>
      <w:r>
        <w:t>☐ Dashboard with definitions, thresholds, prior periods and trends.</w:t>
      </w:r>
    </w:p>
    <w:p>
      <w:r>
        <w:t>☐ Summary of material allegations, investigations and remediation.</w:t>
      </w:r>
    </w:p>
    <w:p>
      <w:r>
        <w:t>☐ High-risk third-party exceptions and overdue due diligence.</w:t>
      </w:r>
    </w:p>
    <w:p>
      <w:r>
        <w:t>☐ Control testing, audit findings and management responses.</w:t>
      </w:r>
    </w:p>
    <w:p>
      <w:r>
        <w:t>☐ List of actions overdue, extended or closed during the period.</w:t>
      </w:r>
    </w:p>
    <w:p>
      <w:r>
        <w:t>☐ Material gifts, donations, sponsorships, conflicts and policy exceptions.</w:t>
      </w:r>
    </w:p>
    <w:p>
      <w:r>
        <w:t>☐ Relevant enforcement, legal or market developments.</w:t>
      </w:r>
    </w:p>
    <w:p>
      <w:r>
        <w:t>☐ Management certification of completeness and known limitations.</w:t>
      </w:r>
    </w:p>
    <w:p>
      <w:pPr>
        <w:pStyle w:val="Heading2"/>
      </w:pPr>
      <w:r>
        <w:t>12.2 Meeting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324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69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Meeting date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Board or committee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Chair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Members present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Conflicts declared and recusals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Management attendees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External advisers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Documents reviewed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12.3 Questions and Decisions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115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Agenda item</w:t>
            </w:r>
          </w:p>
        </w:tc>
        <w:tc>
          <w:tcPr>
            <w:tcW w:type="dxa" w:w="194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Question or challenge</w:t>
            </w:r>
          </w:p>
        </w:tc>
        <w:tc>
          <w:tcPr>
            <w:tcW w:type="dxa" w:w="180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considered</w:t>
            </w:r>
          </w:p>
        </w:tc>
        <w:tc>
          <w:tcPr>
            <w:tcW w:type="dxa" w:w="180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Management response</w:t>
            </w:r>
          </w:p>
        </w:tc>
        <w:tc>
          <w:tcPr>
            <w:tcW w:type="dxa" w:w="180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decision</w:t>
            </w:r>
          </w:p>
        </w:tc>
        <w:tc>
          <w:tcPr>
            <w:tcW w:type="dxa" w:w="7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Action owner</w:t>
            </w:r>
          </w:p>
        </w:tc>
        <w:tc>
          <w:tcPr>
            <w:tcW w:type="dxa" w:w="7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Due date</w:t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12.4 Matters Reserved for Closed Session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194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Matter</w:t>
            </w:r>
          </w:p>
        </w:tc>
        <w:tc>
          <w:tcPr>
            <w:tcW w:type="dxa" w:w="28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Reason for closed session</w:t>
            </w:r>
          </w:p>
        </w:tc>
        <w:tc>
          <w:tcPr>
            <w:tcW w:type="dxa" w:w="158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Attendees</w:t>
            </w:r>
          </w:p>
        </w:tc>
        <w:tc>
          <w:tcPr>
            <w:tcW w:type="dxa" w:w="201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Decision</w:t>
            </w:r>
          </w:p>
        </w:tc>
        <w:tc>
          <w:tcPr>
            <w:tcW w:type="dxa" w:w="151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Follow-up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01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13 Red Flags Requiring Board Attention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51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Theme</w:t>
            </w:r>
          </w:p>
        </w:tc>
        <w:tc>
          <w:tcPr>
            <w:tcW w:type="dxa" w:w="554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Board level warning signs</w:t>
            </w:r>
          </w:p>
        </w:tc>
        <w:tc>
          <w:tcPr>
            <w:tcW w:type="dxa" w:w="28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Immediate board question</w:t>
            </w:r>
          </w:p>
        </w:tc>
      </w:tr>
      <w:tr>
        <w:trPr>
          <w:cantSplit/>
        </w:trPr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Leadership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Senior person protected; pressure to close a case; selective discipline; repeated override.</w:t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Is independence compromised, and what safeguard is required now?</w:t>
            </w:r>
          </w:p>
        </w:tc>
      </w:tr>
      <w:tr>
        <w:trPr>
          <w:cantSplit/>
        </w:trPr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Reporting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Sudden improvement without explanation; missing data; changing definitions; delayed bad news.</w:t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What evidence supports the result and what is not being reported?</w:t>
            </w:r>
          </w:p>
        </w:tc>
      </w:tr>
      <w:tr>
        <w:trPr>
          <w:cantSplit/>
        </w:trPr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Third parties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Opaque ownership; official connection; excessive fee; offshore payment; vague service.</w:t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Why must this party be used, who benefits, and who independently cleared the red flags?</w:t>
            </w:r>
          </w:p>
        </w:tc>
      </w:tr>
      <w:tr>
        <w:trPr>
          <w:cantSplit/>
        </w:trPr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Procurement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Repeated sole source; tailored specification; linked bidders; unexplained variation.</w:t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Was competition genuine, were conflicts managed, and was value independently verified?</w:t>
            </w:r>
          </w:p>
        </w:tc>
      </w:tr>
      <w:tr>
        <w:trPr>
          <w:cantSplit/>
        </w:trPr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Finance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Round sums; manual journals; split payments; altered documents; unusual bank changes.</w:t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Which control failed, who approved the exception, and has payment been paused?</w:t>
            </w:r>
          </w:p>
        </w:tc>
      </w:tr>
      <w:tr>
        <w:trPr>
          <w:cantSplit/>
        </w:trPr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Speak up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Very low reporting; retaliation; identity leaks; ageing cases; high closure rate.</w:t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Can people report safely, and is case triage genuinely independent?</w:t>
            </w:r>
          </w:p>
        </w:tc>
      </w:tr>
      <w:tr>
        <w:trPr>
          <w:cantSplit/>
        </w:trPr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Remediation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Repeated deadline extensions; actions closed without testing; recurring findings.</w:t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What interim safeguard exists, and who is accountable for the delay?</w:t>
            </w:r>
          </w:p>
        </w:tc>
      </w:tr>
      <w:tr>
        <w:trPr>
          <w:cantSplit/>
        </w:trPr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Culture</w:t>
            </w:r>
          </w:p>
        </w:tc>
        <w:tc>
          <w:tcPr>
            <w:tcW w:type="dxa" w:w="55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Targets dominate conduct; fear of senior leaders; compliance viewed as obstruction.</w:t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What objective evidence shows that culture supports lawful conduct?</w:t>
            </w:r>
          </w:p>
        </w:tc>
      </w:tr>
    </w:tbl>
    <w:p>
      <w:pPr>
        <w:spacing w:after="20"/>
      </w:pPr>
    </w:p>
    <w:p>
      <w:pPr>
        <w:pStyle w:val="Heading2"/>
      </w:pPr>
      <w:r>
        <w:t>13.1 Immediate Escalation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86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208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Red flag</w:t>
            </w:r>
          </w:p>
        </w:tc>
        <w:tc>
          <w:tcPr>
            <w:tcW w:type="dxa" w:w="194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Interim safeguard</w:t>
            </w:r>
          </w:p>
        </w:tc>
        <w:tc>
          <w:tcPr>
            <w:tcW w:type="dxa" w:w="151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Independent lead</w:t>
            </w:r>
          </w:p>
        </w:tc>
        <w:tc>
          <w:tcPr>
            <w:tcW w:type="dxa" w:w="208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direction</w:t>
            </w:r>
          </w:p>
        </w:tc>
        <w:tc>
          <w:tcPr>
            <w:tcW w:type="dxa" w:w="10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Decision deadline</w:t>
            </w:r>
          </w:p>
        </w:tc>
        <w:tc>
          <w:tcPr>
            <w:tcW w:type="dxa" w:w="86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Outcome</w:t>
            </w:r>
          </w:p>
        </w:tc>
      </w:tr>
      <w:tr>
        <w:trPr>
          <w:cantSplit/>
        </w:trPr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208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8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14 Remediation Oversight</w:t>
      </w:r>
    </w:p>
    <w:p>
      <w:pPr>
        <w:pStyle w:val="Heading2"/>
      </w:pPr>
      <w:r>
        <w:t>14.1 Action Governance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Every material finding has a specific action, accountable owner, resources and deadline.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Actions address root causes rather than only restating policies or training.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Interim safeguards reduce exposure before final completion.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Deadline changes require a documented reason, revised risk assessment and approval.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Closure evidence demonstrates implementation and operating effectiveness.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An independent person verifies closure of high-risk actions.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Residual risk is updated after remediation.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Persistent delays affect executive accountability and escalation.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14.2 Board Action Tracker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</w:tblGrid>
      <w:tr>
        <w:trPr>
          <w:tblHeader w:val="true"/>
          <w:cantSplit/>
        </w:trPr>
        <w:tc>
          <w:tcPr>
            <w:tcW w:type="dxa" w:w="64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Action ID</w:t>
            </w:r>
          </w:p>
        </w:tc>
        <w:tc>
          <w:tcPr>
            <w:tcW w:type="dxa" w:w="10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Source</w:t>
            </w:r>
          </w:p>
        </w:tc>
        <w:tc>
          <w:tcPr>
            <w:tcW w:type="dxa" w:w="151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Risk addressed</w:t>
            </w:r>
          </w:p>
        </w:tc>
        <w:tc>
          <w:tcPr>
            <w:tcW w:type="dxa" w:w="223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Action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Owner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Original due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Revised due</w:t>
            </w:r>
          </w:p>
        </w:tc>
        <w:tc>
          <w:tcPr>
            <w:tcW w:type="dxa" w:w="7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Status</w:t>
            </w:r>
          </w:p>
        </w:tc>
        <w:tc>
          <w:tcPr>
            <w:tcW w:type="dxa" w:w="144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Closure evidence</w:t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6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51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223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7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3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14.3 Closure 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94"/>
        <w:gridCol w:w="1694"/>
        <w:gridCol w:w="1694"/>
        <w:gridCol w:w="1694"/>
        <w:gridCol w:w="1694"/>
        <w:gridCol w:w="1694"/>
      </w:tblGrid>
      <w:tr>
        <w:trPr>
          <w:tblHeader w:val="true"/>
          <w:cantSplit/>
        </w:trPr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Action ID</w:t>
            </w:r>
          </w:p>
        </w:tc>
        <w:tc>
          <w:tcPr>
            <w:tcW w:type="dxa" w:w="165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Management complete</w:t>
            </w:r>
          </w:p>
        </w:tc>
        <w:tc>
          <w:tcPr>
            <w:tcW w:type="dxa" w:w="194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Independent verification</w:t>
            </w:r>
          </w:p>
        </w:tc>
        <w:tc>
          <w:tcPr>
            <w:tcW w:type="dxa" w:w="180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Residual risk reviewed</w:t>
            </w:r>
          </w:p>
        </w:tc>
        <w:tc>
          <w:tcPr>
            <w:tcW w:type="dxa" w:w="266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or committee decision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Date</w:t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16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80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266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15 Major Transactions and Change Events</w:t>
      </w:r>
    </w:p>
    <w:p>
      <w:pPr>
        <w:pStyle w:val="Heading2"/>
      </w:pPr>
      <w:r>
        <w:t>15.1 Enhanced Board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tblHeader w:val="true"/>
          <w:cantSplit/>
        </w:trPr>
        <w:tc>
          <w:tcPr>
            <w:tcW w:type="dxa" w:w="50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53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Board oversight question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Yes</w:t>
            </w:r>
          </w:p>
        </w:tc>
        <w:tc>
          <w:tcPr>
            <w:tcW w:type="dxa" w:w="691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Partial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No</w:t>
            </w:r>
          </w:p>
        </w:tc>
        <w:tc>
          <w:tcPr>
            <w:tcW w:type="dxa" w:w="605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N/A</w:t>
            </w:r>
          </w:p>
        </w:tc>
        <w:tc>
          <w:tcPr>
            <w:tcW w:type="dxa" w:w="159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Evidence or follow-up</w:t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transaction or change has a documented corruption risk assessment.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Ownership, control, reputation and public-official connections are understood.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3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business rationale and valuation are credible and independently reviewed.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High-risk intermediaries, permits, licences and government touchpoints are identified.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Historic allegations, investigations, books and records and control failures are examined.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6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Contract protections, audit rights and termination rights are adequate.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Conditions precedent and post-completion remediation are specific and enforceable.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8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Integration includes controls, training, reporting channels and monitoring.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50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9</w:t>
            </w:r>
          </w:p>
        </w:tc>
        <w:tc>
          <w:tcPr>
            <w:tcW w:type="dxa" w:w="53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The board has considered whether the exposure can be reduced to an acceptable level.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91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605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  <w:t>☐</w:t>
            </w:r>
          </w:p>
        </w:tc>
        <w:tc>
          <w:tcPr>
            <w:tcW w:type="dxa" w:w="159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4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15.2 Transaction Decision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324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69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Transaction or event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Business sponsor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Risk summary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Unresolved red flags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Independent advice obtained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Conditions imposed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Interim restrictions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Decision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Decision rationale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Accountable owner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Review date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Section 16 Annual Board Assessment</w:t>
      </w:r>
    </w:p>
    <w:p>
      <w:pPr>
        <w:pStyle w:val="Heading2"/>
      </w:pPr>
      <w:r>
        <w:t>16.1 Annual Conclusion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324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69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Assessment period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Scope reviewed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Overall corruption risk profile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Programme effectiveness conclusion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Most significant risks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Material control weaknesses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Quality of management reporting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Compliance independence and resources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Adequacy of assurance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  <w:t>Material incidents and lessons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  <w:t>Priorities for next period</w:t>
            </w:r>
          </w:p>
        </w:tc>
        <w:tc>
          <w:tcPr>
            <w:tcW w:type="dxa" w:w="66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8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16.2 Board Conclusion Scale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28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Conclusion</w:t>
            </w:r>
          </w:p>
        </w:tc>
        <w:tc>
          <w:tcPr>
            <w:tcW w:type="dxa" w:w="705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Meaning</w:t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Effective</w:t>
            </w:r>
          </w:p>
        </w:tc>
        <w:tc>
          <w:tcPr>
            <w:tcW w:type="dxa" w:w="70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The framework is appropriately designed and supported by evidence of consistent operation; no material unaddressed weakness is identified.</w:t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7"/>
              </w:rPr>
              <w:t>Generally effective with improvement required</w:t>
            </w:r>
          </w:p>
        </w:tc>
        <w:tc>
          <w:tcPr>
            <w:tcW w:type="dxa" w:w="70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7"/>
              </w:rPr>
              <w:t>Core elements operate, but defined gaps require time-bound remediation and oversight.</w:t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Partially effective</w:t>
            </w:r>
          </w:p>
        </w:tc>
        <w:tc>
          <w:tcPr>
            <w:tcW w:type="dxa" w:w="70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Significant design or operating weaknesses limit reliance and leave material exposure.</w:t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7"/>
              </w:rPr>
              <w:t>Ineffective</w:t>
            </w:r>
          </w:p>
        </w:tc>
        <w:tc>
          <w:tcPr>
            <w:tcW w:type="dxa" w:w="70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7"/>
              </w:rPr>
              <w:t>The framework does not adequately manage corruption exposure; urgent corrective action and potential activity restrictions are required.</w:t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Unable to conclude</w:t>
            </w:r>
          </w:p>
        </w:tc>
        <w:tc>
          <w:tcPr>
            <w:tcW w:type="dxa" w:w="70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7"/>
              </w:rPr>
              <w:t>Evidence, access or assurance is insufficient; this itself requires remediation and escalation.</w:t>
            </w:r>
          </w:p>
        </w:tc>
      </w:tr>
    </w:tbl>
    <w:p>
      <w:pPr>
        <w:spacing w:after="20"/>
      </w:pPr>
    </w:p>
    <w:p>
      <w:pPr>
        <w:pStyle w:val="Heading2"/>
      </w:pPr>
      <w:r>
        <w:t>16.3 Formal Board Resolution</w:t>
      </w:r>
    </w:p>
    <w:p>
      <w:r>
        <w:t>The board or committee has reviewed the evidence described in this checklist and records the following conclusion and directions: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28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Conclusion</w:t>
            </w:r>
          </w:p>
        </w:tc>
        <w:tc>
          <w:tcPr>
            <w:tcW w:type="dxa" w:w="705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☐ Effective   ☐ Generally effective with improvement required   ☐ Partially effective   ☐ Ineffective   ☐ Unable to conclude</w:t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Basis for conclusion</w:t>
            </w:r>
          </w:p>
        </w:tc>
        <w:tc>
          <w:tcPr>
            <w:tcW w:type="dxa" w:w="70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Conditions or directions</w:t>
            </w:r>
          </w:p>
        </w:tc>
        <w:tc>
          <w:tcPr>
            <w:tcW w:type="dxa" w:w="70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Matters escalated</w:t>
            </w:r>
          </w:p>
        </w:tc>
        <w:tc>
          <w:tcPr>
            <w:tcW w:type="dxa" w:w="70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Next review date</w:t>
            </w:r>
          </w:p>
        </w:tc>
        <w:tc>
          <w:tcPr>
            <w:tcW w:type="dxa" w:w="70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345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type="dxa" w:w="216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Name</w:t>
            </w:r>
          </w:p>
        </w:tc>
        <w:tc>
          <w:tcPr>
            <w:tcW w:type="dxa" w:w="25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Signature</w:t>
            </w:r>
          </w:p>
        </w:tc>
        <w:tc>
          <w:tcPr>
            <w:tcW w:type="dxa" w:w="17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Chair</w:t>
            </w:r>
          </w:p>
        </w:tc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Company secretary</w:t>
            </w:r>
          </w:p>
        </w:tc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Compliance lead acknowledgement</w:t>
            </w:r>
          </w:p>
        </w:tc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Appendix A Board Questions for Management</w:t>
      </w:r>
    </w:p>
    <w:p>
      <w:r>
        <w:t>1. What has changed in our corruption exposure since the last board review, and why?</w:t>
      </w:r>
    </w:p>
    <w:p>
      <w:r>
        <w:t>2. Which residual risks are outside appetite, and what interim safeguards are operating?</w:t>
      </w:r>
    </w:p>
    <w:p>
      <w:r>
        <w:t>3. Where are we relying on controls that have not been tested?</w:t>
      </w:r>
    </w:p>
    <w:p>
      <w:r>
        <w:t>4. Which high-risk third parties have unresolved red flags or overdue reviews?</w:t>
      </w:r>
    </w:p>
    <w:p>
      <w:r>
        <w:t>5. What adverse information did management initially disagree with or choose not to escalate?</w:t>
      </w:r>
    </w:p>
    <w:p>
      <w:r>
        <w:t>6. Which business targets or incentives create the greatest pressure to bypass controls?</w:t>
      </w:r>
    </w:p>
    <w:p>
      <w:r>
        <w:t>7. Where does management override occur most frequently?</w:t>
      </w:r>
    </w:p>
    <w:p>
      <w:r>
        <w:t>8. What do transaction analytics reveal that policy compliance statistics do not?</w:t>
      </w:r>
    </w:p>
    <w:p>
      <w:r>
        <w:t>9. Which allegations involve senior leaders, key revenue producers or public officials?</w:t>
      </w:r>
    </w:p>
    <w:p>
      <w:r>
        <w:t>10. How do we know reporters are protected from retaliation?</w:t>
      </w:r>
    </w:p>
    <w:p>
      <w:r>
        <w:t>11. Which investigations are delayed, and who controls the delay?</w:t>
      </w:r>
    </w:p>
    <w:p>
      <w:r>
        <w:t>12. What recurring findings show that root causes have not been addressed?</w:t>
      </w:r>
    </w:p>
    <w:p>
      <w:r>
        <w:t>13. Which actions were closed without independent verification?</w:t>
      </w:r>
    </w:p>
    <w:p>
      <w:r>
        <w:t>14. What compliance resource, technology or authority limitation presents the greatest risk?</w:t>
      </w:r>
    </w:p>
    <w:p>
      <w:r>
        <w:t>15. If a serious corruption event occurred tomorrow, where would our response fail?</w:t>
      </w:r>
    </w:p>
    <w:p>
      <w:pPr>
        <w:pStyle w:val="Heading2"/>
      </w:pPr>
      <w:r>
        <w:t>Management Response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10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Question no.</w:t>
            </w:r>
          </w:p>
        </w:tc>
        <w:tc>
          <w:tcPr>
            <w:tcW w:type="dxa" w:w="396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Response summary</w:t>
            </w:r>
          </w:p>
        </w:tc>
        <w:tc>
          <w:tcPr>
            <w:tcW w:type="dxa" w:w="194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Evidence reference</w:t>
            </w:r>
          </w:p>
        </w:tc>
        <w:tc>
          <w:tcPr>
            <w:tcW w:type="dxa" w:w="187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Board conclusion</w:t>
            </w:r>
          </w:p>
        </w:tc>
        <w:tc>
          <w:tcPr>
            <w:tcW w:type="dxa" w:w="10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Action</w:t>
            </w:r>
          </w:p>
        </w:tc>
      </w:tr>
      <w:tr>
        <w:trPr>
          <w:cantSplit/>
        </w:trPr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9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9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9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9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9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9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9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9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9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9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87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Appendix B Evidence Request 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94"/>
        <w:gridCol w:w="1694"/>
        <w:gridCol w:w="1694"/>
        <w:gridCol w:w="1694"/>
        <w:gridCol w:w="1694"/>
        <w:gridCol w:w="1694"/>
      </w:tblGrid>
      <w:tr>
        <w:trPr>
          <w:tblHeader w:val="true"/>
          <w:cantSplit/>
        </w:trPr>
        <w:tc>
          <w:tcPr>
            <w:tcW w:type="dxa" w:w="57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No.</w:t>
            </w:r>
          </w:p>
        </w:tc>
        <w:tc>
          <w:tcPr>
            <w:tcW w:type="dxa" w:w="46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Evidence item</w:t>
            </w:r>
          </w:p>
        </w:tc>
        <w:tc>
          <w:tcPr>
            <w:tcW w:type="dxa" w:w="10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Period</w:t>
            </w:r>
          </w:p>
        </w:tc>
        <w:tc>
          <w:tcPr>
            <w:tcW w:type="dxa" w:w="122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Owner</w:t>
            </w:r>
          </w:p>
        </w:tc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Received</w:t>
            </w:r>
          </w:p>
        </w:tc>
        <w:tc>
          <w:tcPr>
            <w:tcW w:type="dxa" w:w="158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Quality or limitation</w:t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1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Current corruption risk assessment and risk register.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2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Board-approved risk appetite and programme framework.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3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Code of conduct and anti-corruption-related policies.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4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Compliance organisation chart, budget, vacancies and annual plan.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5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Third-party population, risk tiers, due diligence status and red-flag log.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6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Gifts, hospitality, travel, donations, sponsorships and conflict registers.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7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Procurement exceptions, sole-source awards and contract variations.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8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Payment analytics, override logs and material accounting exceptions.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9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Speak-up metrics, retaliation reports and investigation ageing.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10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Disciplinary outcomes and remediation records.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11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Training coverage, comprehension results and exceptions.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12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Internal audit, compliance monitoring and external assurance reports.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13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Status of board and management actions.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57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14</w:t>
            </w:r>
          </w:p>
        </w:tc>
        <w:tc>
          <w:tcPr>
            <w:tcW w:type="dxa" w:w="46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Relevant regulatory correspondence, enforcement and legal developments.</w:t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type="dxa" w:w="158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</w:tbl>
    <w:p>
      <w:pPr>
        <w:spacing w:after="20"/>
      </w:pPr>
    </w:p>
    <w:p>
      <w:pPr>
        <w:pStyle w:val="Heading1"/>
      </w:pPr>
      <w:r>
        <w:t>Appendix C Quarterly Review Checklist</w:t>
      </w:r>
    </w:p>
    <w:p>
      <w:r>
        <w:t>☐ Dashboard received with trends and thresholds.</w:t>
      </w:r>
    </w:p>
    <w:p>
      <w:r>
        <w:t>☐ Material changes in corruption risk explained.</w:t>
      </w:r>
    </w:p>
    <w:p>
      <w:r>
        <w:t>☐ Risks outside appetite reviewed.</w:t>
      </w:r>
    </w:p>
    <w:p>
      <w:r>
        <w:t>☐ Material allegations and investigations reviewed.</w:t>
      </w:r>
    </w:p>
    <w:p>
      <w:r>
        <w:t>☐ Retaliation indicators reviewed.</w:t>
      </w:r>
    </w:p>
    <w:p>
      <w:r>
        <w:t>☐ High-risk third-party exceptions reviewed.</w:t>
      </w:r>
    </w:p>
    <w:p>
      <w:r>
        <w:t>☐ Control failures and override trends reviewed.</w:t>
      </w:r>
    </w:p>
    <w:p>
      <w:r>
        <w:t>☐ Audit and monitoring results reviewed.</w:t>
      </w:r>
    </w:p>
    <w:p>
      <w:r>
        <w:t>☐ Overdue actions challenged and escalated.</w:t>
      </w:r>
    </w:p>
    <w:p>
      <w:r>
        <w:t>☐ Emerging legal, market and geopolitical risks considered.</w:t>
      </w:r>
    </w:p>
    <w:p>
      <w:r>
        <w:t>☐ Management completeness certification received.</w:t>
      </w:r>
    </w:p>
    <w:p>
      <w:r>
        <w:t>☐ Board questions, decisions, owners and deadlines recorded.</w:t>
      </w:r>
    </w:p>
    <w:p>
      <w:pPr>
        <w:pStyle w:val="Heading2"/>
      </w:pPr>
      <w:r>
        <w:t>Quarterly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94"/>
        <w:gridCol w:w="1694"/>
        <w:gridCol w:w="1694"/>
        <w:gridCol w:w="1694"/>
        <w:gridCol w:w="1694"/>
        <w:gridCol w:w="1694"/>
      </w:tblGrid>
      <w:tr>
        <w:trPr>
          <w:tblHeader w:val="true"/>
          <w:cantSplit/>
        </w:trPr>
        <w:tc>
          <w:tcPr>
            <w:tcW w:type="dxa" w:w="93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Quarter</w:t>
            </w:r>
          </w:p>
        </w:tc>
        <w:tc>
          <w:tcPr>
            <w:tcW w:type="dxa" w:w="122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Meeting date</w:t>
            </w:r>
          </w:p>
        </w:tc>
        <w:tc>
          <w:tcPr>
            <w:tcW w:type="dxa" w:w="144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Overall status</w:t>
            </w:r>
          </w:p>
        </w:tc>
        <w:tc>
          <w:tcPr>
            <w:tcW w:type="dxa" w:w="288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Principal concern</w:t>
            </w:r>
          </w:p>
        </w:tc>
        <w:tc>
          <w:tcPr>
            <w:tcW w:type="dxa" w:w="216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Decision required</w:t>
            </w:r>
          </w:p>
        </w:tc>
        <w:tc>
          <w:tcPr>
            <w:tcW w:type="dxa" w:w="129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Next review</w:t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Q1</w:t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Q2</w:t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Q3</w:t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93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Q4</w:t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16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9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</w:tbl>
    <w:p>
      <w:pPr>
        <w:spacing w:after="20"/>
      </w:pPr>
    </w:p>
    <w:p>
      <w:pPr>
        <w:pStyle w:val="Heading2"/>
      </w:pPr>
      <w:r>
        <w:t>Outstanding Matters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94"/>
        <w:gridCol w:w="1694"/>
        <w:gridCol w:w="1694"/>
        <w:gridCol w:w="1694"/>
        <w:gridCol w:w="1694"/>
        <w:gridCol w:w="1694"/>
      </w:tblGrid>
      <w:tr>
        <w:trPr>
          <w:tblHeader w:val="true"/>
          <w:cantSplit/>
        </w:trPr>
        <w:tc>
          <w:tcPr>
            <w:tcW w:type="dxa" w:w="720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Ref</w:t>
            </w:r>
          </w:p>
        </w:tc>
        <w:tc>
          <w:tcPr>
            <w:tcW w:type="dxa" w:w="3456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Matter</w:t>
            </w:r>
          </w:p>
        </w:tc>
        <w:tc>
          <w:tcPr>
            <w:tcW w:type="dxa" w:w="115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Owner</w:t>
            </w:r>
          </w:p>
        </w:tc>
        <w:tc>
          <w:tcPr>
            <w:tcW w:type="dxa" w:w="10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Due date</w:t>
            </w:r>
          </w:p>
        </w:tc>
        <w:tc>
          <w:tcPr>
            <w:tcW w:type="dxa" w:w="100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25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Board direction</w:t>
            </w:r>
          </w:p>
        </w:tc>
      </w:tr>
      <w:tr>
        <w:trPr>
          <w:cantSplit/>
        </w:trPr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3456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15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100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5"/>
              </w:rPr>
            </w:r>
          </w:p>
        </w:tc>
      </w:tr>
    </w:tbl>
    <w:p>
      <w:pPr>
        <w:spacing w:after="20"/>
      </w:pPr>
    </w:p>
    <w:p>
      <w:pPr>
        <w:pStyle w:val="Heading1"/>
      </w:pPr>
      <w:r>
        <w:t>Appendix D Final Quality Review</w:t>
      </w:r>
    </w:p>
    <w:p>
      <w:r>
        <w:t>☐ The board reviewed evidence, not only management assurances.</w:t>
      </w:r>
    </w:p>
    <w:p>
      <w:r>
        <w:t>☐ Material risks, incidents and control failures were not omitted.</w:t>
      </w:r>
    </w:p>
    <w:p>
      <w:r>
        <w:t>☐ Conflicts and recusals were documented.</w:t>
      </w:r>
    </w:p>
    <w:p>
      <w:r>
        <w:t>☐ Residual-risk ratings and appetite status were challenged.</w:t>
      </w:r>
    </w:p>
    <w:p>
      <w:r>
        <w:t>☐ Compliance and assurance functions had direct access to the board.</w:t>
      </w:r>
    </w:p>
    <w:p>
      <w:r>
        <w:t>☐ Management reporting limitations were disclosed.</w:t>
      </w:r>
    </w:p>
    <w:p>
      <w:r>
        <w:t>☐ Each decision and action has an owner and deadline.</w:t>
      </w:r>
    </w:p>
    <w:p>
      <w:r>
        <w:t>☐ Interim safeguards exist for significant open exposure.</w:t>
      </w:r>
    </w:p>
    <w:p>
      <w:r>
        <w:t>☐ High-risk action closure requires independent verification.</w:t>
      </w:r>
    </w:p>
    <w:p>
      <w:r>
        <w:t>☐ Minutes record challenge, rationale and decisions accurately.</w:t>
      </w:r>
    </w:p>
    <w:p>
      <w:r>
        <w:t>☐ Confidential and privileged information is handled appropriately.</w:t>
      </w:r>
    </w:p>
    <w:p>
      <w:r>
        <w:t>☐ The next review date and trigger events are recorded.</w:t>
      </w:r>
    </w:p>
    <w:p>
      <w:pPr>
        <w:pStyle w:val="Heading2"/>
      </w:pPr>
      <w:r>
        <w:t>Final Sign Off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44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type="dxa" w:w="1728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Name</w:t>
            </w:r>
          </w:p>
        </w:tc>
        <w:tc>
          <w:tcPr>
            <w:tcW w:type="dxa" w:w="2592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Conclusion</w:t>
            </w:r>
          </w:p>
        </w:tc>
        <w:tc>
          <w:tcPr>
            <w:tcW w:type="dxa" w:w="194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Signature</w:t>
            </w:r>
          </w:p>
        </w:tc>
        <w:tc>
          <w:tcPr>
            <w:tcW w:type="dxa" w:w="1224"/>
            <w:shd w:fill="17365D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24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Board or committee chair</w:t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Complete / Incomplete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Company secretary</w:t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Accurately recorded / Qualified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Compliance lead</w:t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  <w:t>Satisfactory / Qualified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244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Independent assurance</w:t>
            </w:r>
          </w:p>
        </w:tc>
        <w:tc>
          <w:tcPr>
            <w:tcW w:type="dxa" w:w="1728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2592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  <w:t>Satisfactory / Qualified</w:t>
            </w:r>
          </w:p>
        </w:tc>
        <w:tc>
          <w:tcPr>
            <w:tcW w:type="dxa" w:w="194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  <w:tc>
          <w:tcPr>
            <w:tcW w:type="dxa" w:w="1224"/>
            <w:tcMar>
              <w:top w:w="95" w:type="dxa"/>
              <w:start w:w="95" w:type="dxa"/>
              <w:bottom w:w="95" w:type="dxa"/>
              <w:end w:w="95" w:type="dxa"/>
            </w:tcMar>
            <w:vAlign w:val="center"/>
            <w:shd w:fill="F4F7FA"/>
          </w:tcPr>
          <w:p>
            <w:pPr>
              <w:spacing w:after="20" w:line="240" w:lineRule="auto"/>
            </w:pPr>
            <w:r>
              <w:rPr>
                <w:sz w:val="16"/>
              </w:rPr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37" w:bottom="1008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 xml:space="preserve">Confidential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646464"/>
        <w:sz w:val="15"/>
      </w:rPr>
      <w:t>BOARD ANTI CORRUPTION OVERSIGHT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 Display" w:hAnsi="Aptos Display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Anti Corruption Oversight Checklist</dc:title>
  <dc:subject>Board governance checklist for anti-corruption oversight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