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17365D"/>
          <w:sz w:val="28"/>
        </w:rPr>
        <w:t>ETHICS INTEGRITY AND RESPONSIBLE BUSINESS</w:t>
      </w:r>
    </w:p>
    <w:p>
      <w:pPr>
        <w:pStyle w:val="Title"/>
        <w:jc w:val="center"/>
      </w:pPr>
      <w:r>
        <w:t>Anti Bribery and Corruption Policy Template</w:t>
      </w:r>
    </w:p>
    <w:p>
      <w:pPr>
        <w:pStyle w:val="Subtitle"/>
        <w:jc w:val="center"/>
      </w:pPr>
      <w:r>
        <w:t>Prevention detection reporting investigation and enforcement framework</w:t>
      </w:r>
    </w:p>
    <w:p>
      <w:pPr>
        <w:spacing w:before="760"/>
        <w:jc w:val="center"/>
      </w:pPr>
      <w:r>
        <w:rPr>
          <w:b/>
        </w:rPr>
        <w:t>Organisation</w:t>
        <w:br/>
      </w:r>
      <w:r>
        <w:t>__________________________________________________</w:t>
        <w:br/>
        <w:br/>
      </w:r>
      <w:r>
        <w:rPr>
          <w:b/>
        </w:rPr>
        <w:t>Policy owner</w:t>
        <w:br/>
      </w:r>
      <w:r>
        <w:t>__________________________________________________</w:t>
        <w:br/>
        <w:br/>
      </w:r>
      <w:r>
        <w:rPr>
          <w:b/>
        </w:rPr>
        <w:t>Effective date</w:t>
        <w:br/>
      </w:r>
      <w:r>
        <w:t>__________________________________________________</w:t>
        <w:br/>
        <w:br/>
      </w:r>
      <w:r>
        <w:rPr>
          <w:b/>
        </w:rPr>
        <w:t>Policy classification</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Policy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Policy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Executive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Applicable entities and countries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Policy classification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Controlled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5"/>
              </w:rPr>
              <w:t>Version</w:t>
            </w:r>
          </w:p>
        </w:tc>
        <w:tc>
          <w:tcPr>
            <w:tcW w:type="dxa" w:w="1152"/>
            <w:shd w:fill="17365D"/>
            <w:tcMar>
              <w:top w:w="65" w:type="dxa"/>
              <w:start w:w="65" w:type="dxa"/>
              <w:bottom w:w="65" w:type="dxa"/>
              <w:end w:w="65" w:type="dxa"/>
            </w:tcMar>
            <w:vAlign w:val="center"/>
          </w:tcPr>
          <w:p>
            <w:r>
              <w:rPr>
                <w:b/>
                <w:color w:val="FFFFFF"/>
                <w:sz w:val="15"/>
              </w:rPr>
              <w:t>Date</w:t>
            </w:r>
          </w:p>
        </w:tc>
        <w:tc>
          <w:tcPr>
            <w:tcW w:type="dxa" w:w="1656"/>
            <w:shd w:fill="17365D"/>
            <w:tcMar>
              <w:top w:w="65" w:type="dxa"/>
              <w:start w:w="65" w:type="dxa"/>
              <w:bottom w:w="65" w:type="dxa"/>
              <w:end w:w="65" w:type="dxa"/>
            </w:tcMar>
            <w:vAlign w:val="center"/>
          </w:tcPr>
          <w:p>
            <w:r>
              <w:rPr>
                <w:b/>
                <w:color w:val="FFFFFF"/>
                <w:sz w:val="15"/>
              </w:rPr>
              <w:t>Owner</w:t>
            </w:r>
          </w:p>
        </w:tc>
        <w:tc>
          <w:tcPr>
            <w:tcW w:type="dxa" w:w="4752"/>
            <w:shd w:fill="17365D"/>
            <w:tcMar>
              <w:top w:w="65" w:type="dxa"/>
              <w:start w:w="65" w:type="dxa"/>
              <w:bottom w:w="65" w:type="dxa"/>
              <w:end w:w="65" w:type="dxa"/>
            </w:tcMar>
            <w:vAlign w:val="center"/>
          </w:tcPr>
          <w:p>
            <w:r>
              <w:rPr>
                <w:b/>
                <w:color w:val="FFFFFF"/>
                <w:sz w:val="15"/>
              </w:rPr>
              <w:t>Change summary</w:t>
            </w:r>
          </w:p>
        </w:tc>
        <w:tc>
          <w:tcPr>
            <w:tcW w:type="dxa" w:w="1296"/>
            <w:shd w:fill="17365D"/>
            <w:tcMar>
              <w:top w:w="65" w:type="dxa"/>
              <w:start w:w="65" w:type="dxa"/>
              <w:bottom w:w="65" w:type="dxa"/>
              <w:end w:w="65" w:type="dxa"/>
            </w:tcMar>
            <w:vAlign w:val="center"/>
          </w:tcPr>
          <w:p>
            <w:r>
              <w:rPr>
                <w:b/>
                <w:color w:val="FFFFFF"/>
                <w:sz w:val="15"/>
              </w:rPr>
              <w:t>Approval</w:t>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656"/>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296"/>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656"/>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296"/>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656"/>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296"/>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3240"/>
            <w:shd w:fill="17365D"/>
            <w:tcMar>
              <w:top w:w="65" w:type="dxa"/>
              <w:start w:w="65" w:type="dxa"/>
              <w:bottom w:w="65" w:type="dxa"/>
              <w:end w:w="65" w:type="dxa"/>
            </w:tcMar>
            <w:vAlign w:val="center"/>
          </w:tcPr>
          <w:p>
            <w:r>
              <w:rPr>
                <w:b/>
                <w:color w:val="FFFFFF"/>
                <w:sz w:val="15"/>
              </w:rPr>
              <w:t>Role</w:t>
            </w:r>
          </w:p>
        </w:tc>
        <w:tc>
          <w:tcPr>
            <w:tcW w:type="dxa" w:w="2160"/>
            <w:shd w:fill="17365D"/>
            <w:tcMar>
              <w:top w:w="65" w:type="dxa"/>
              <w:start w:w="65" w:type="dxa"/>
              <w:bottom w:w="65" w:type="dxa"/>
              <w:end w:w="65" w:type="dxa"/>
            </w:tcMar>
            <w:vAlign w:val="center"/>
          </w:tcPr>
          <w:p>
            <w:r>
              <w:rPr>
                <w:b/>
                <w:color w:val="FFFFFF"/>
                <w:sz w:val="15"/>
              </w:rPr>
              <w:t>Name</w:t>
            </w:r>
          </w:p>
        </w:tc>
        <w:tc>
          <w:tcPr>
            <w:tcW w:type="dxa" w:w="3024"/>
            <w:shd w:fill="17365D"/>
            <w:tcMar>
              <w:top w:w="65" w:type="dxa"/>
              <w:start w:w="65" w:type="dxa"/>
              <w:bottom w:w="65" w:type="dxa"/>
              <w:end w:w="65" w:type="dxa"/>
            </w:tcMar>
            <w:vAlign w:val="center"/>
          </w:tcPr>
          <w:p>
            <w:r>
              <w:rPr>
                <w:b/>
                <w:color w:val="FFFFFF"/>
                <w:sz w:val="15"/>
              </w:rPr>
              <w:t>Signature or confirmation</w:t>
            </w:r>
          </w:p>
        </w:tc>
        <w:tc>
          <w:tcPr>
            <w:tcW w:type="dxa" w:w="1368"/>
            <w:shd w:fill="17365D"/>
            <w:tcMar>
              <w:top w:w="65" w:type="dxa"/>
              <w:start w:w="65" w:type="dxa"/>
              <w:bottom w:w="65" w:type="dxa"/>
              <w:end w:w="65" w:type="dxa"/>
            </w:tcMar>
            <w:vAlign w:val="center"/>
          </w:tcPr>
          <w:p>
            <w:r>
              <w:rPr>
                <w:b/>
                <w:color w:val="FFFFFF"/>
                <w:sz w:val="15"/>
              </w:rPr>
              <w:t>Date</w:t>
            </w:r>
          </w:p>
        </w:tc>
      </w:tr>
      <w:tr>
        <w:trPr>
          <w:cantSplit/>
        </w:trPr>
        <w:tc>
          <w:tcPr>
            <w:tcW w:type="dxa" w:w="3240"/>
            <w:tcMar>
              <w:top w:w="65" w:type="dxa"/>
              <w:start w:w="65" w:type="dxa"/>
              <w:bottom w:w="65" w:type="dxa"/>
              <w:end w:w="65" w:type="dxa"/>
            </w:tcMar>
            <w:vAlign w:val="center"/>
          </w:tcPr>
          <w:p>
            <w:pPr>
              <w:spacing w:after="0" w:line="235" w:lineRule="auto"/>
            </w:pPr>
            <w:r>
              <w:rPr>
                <w:sz w:val="15"/>
              </w:rPr>
              <w:t>Board or governing body</w:t>
            </w:r>
          </w:p>
        </w:tc>
        <w:tc>
          <w:tcPr>
            <w:tcW w:type="dxa" w:w="2160"/>
            <w:tcMar>
              <w:top w:w="65" w:type="dxa"/>
              <w:start w:w="65" w:type="dxa"/>
              <w:bottom w:w="65" w:type="dxa"/>
              <w:end w:w="65" w:type="dxa"/>
            </w:tcMar>
            <w:vAlign w:val="center"/>
          </w:tcPr>
          <w:p>
            <w:pPr>
              <w:spacing w:after="0" w:line="235" w:lineRule="auto"/>
            </w:pPr>
            <w:r>
              <w:rPr>
                <w:sz w:val="15"/>
              </w:rPr>
            </w:r>
          </w:p>
        </w:tc>
        <w:tc>
          <w:tcPr>
            <w:tcW w:type="dxa" w:w="3024"/>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Chief executive or executive sponsor</w:t>
            </w:r>
          </w:p>
        </w:tc>
        <w:tc>
          <w:tcPr>
            <w:tcW w:type="dxa" w:w="2160"/>
            <w:tcMar>
              <w:top w:w="65" w:type="dxa"/>
              <w:start w:w="65" w:type="dxa"/>
              <w:bottom w:w="65" w:type="dxa"/>
              <w:end w:w="65" w:type="dxa"/>
            </w:tcMar>
            <w:vAlign w:val="center"/>
            <w:shd w:fill="F4F7FA"/>
          </w:tcPr>
          <w:p>
            <w:pPr>
              <w:spacing w:after="0" w:line="235" w:lineRule="auto"/>
            </w:pPr>
            <w:r>
              <w:rPr>
                <w:sz w:val="15"/>
              </w:rPr>
            </w:r>
          </w:p>
        </w:tc>
        <w:tc>
          <w:tcPr>
            <w:tcW w:type="dxa" w:w="3024"/>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Compliance or legal owner</w:t>
            </w:r>
          </w:p>
        </w:tc>
        <w:tc>
          <w:tcPr>
            <w:tcW w:type="dxa" w:w="2160"/>
            <w:tcMar>
              <w:top w:w="65" w:type="dxa"/>
              <w:start w:w="65" w:type="dxa"/>
              <w:bottom w:w="65" w:type="dxa"/>
              <w:end w:w="65" w:type="dxa"/>
            </w:tcMar>
            <w:vAlign w:val="center"/>
          </w:tcPr>
          <w:p>
            <w:pPr>
              <w:spacing w:after="0" w:line="235" w:lineRule="auto"/>
            </w:pPr>
            <w:r>
              <w:rPr>
                <w:sz w:val="15"/>
              </w:rPr>
            </w:r>
          </w:p>
        </w:tc>
        <w:tc>
          <w:tcPr>
            <w:tcW w:type="dxa" w:w="3024"/>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Policy Statement</w:t>
      </w:r>
    </w:p>
    <w:p>
      <w:r>
        <w:t>[Organisation name] is committed to conducting business lawfully, ethically and transparently. The organisation prohibits bribery and corruption in every form, whether direct or indirect, public or private, offered or received, and regardless of local custom, commercial pressure or the value involved. No person is permitted to obtain or retain business, secure an improper advantage, influence a decision or reward improper conduct through anything of value.</w:t>
      </w:r>
    </w:p>
    <w:p>
      <w:r>
        <w:t>No employee or associated person will suffer retaliation or disadvantage for refusing to pay or accept a bribe, losing business because of that refusal, raising a concern in good faith or participating honestly in an investigation. Commercial objectives never justify misconduct.</w:t>
      </w:r>
    </w:p>
    <w:p>
      <w:pPr>
        <w:pStyle w:val="Heading2"/>
      </w:pPr>
      <w:r>
        <w:t>Core Commitments</w:t>
      </w:r>
    </w:p>
    <w:p>
      <w:pPr>
        <w:pStyle w:val="ListBullet"/>
        <w:spacing w:after="60"/>
        <w:ind w:left="360"/>
      </w:pPr>
      <w:r>
        <w:t>Comply with applicable anti-bribery, anti-corruption, books-and-records and related laws.</w:t>
      </w:r>
    </w:p>
    <w:p>
      <w:pPr>
        <w:pStyle w:val="ListBullet"/>
        <w:spacing w:after="60"/>
        <w:ind w:left="360"/>
      </w:pPr>
      <w:r>
        <w:t>Maintain risk-based controls proportionate to the organisation’s activities, locations, transactions and relationships.</w:t>
      </w:r>
    </w:p>
    <w:p>
      <w:pPr>
        <w:pStyle w:val="ListBullet"/>
        <w:spacing w:after="60"/>
        <w:ind w:left="360"/>
      </w:pPr>
      <w:r>
        <w:t>Conduct appropriate due diligence before and during higher-risk relationships.</w:t>
      </w:r>
    </w:p>
    <w:p>
      <w:pPr>
        <w:pStyle w:val="ListBullet"/>
        <w:spacing w:after="60"/>
        <w:ind w:left="360"/>
      </w:pPr>
      <w:r>
        <w:t>Keep accurate records that transparently reflect transactions and decisions.</w:t>
      </w:r>
    </w:p>
    <w:p>
      <w:pPr>
        <w:pStyle w:val="ListBullet"/>
        <w:spacing w:after="60"/>
        <w:ind w:left="360"/>
      </w:pPr>
      <w:r>
        <w:t>Provide safe reporting routes and protect people who speak up.</w:t>
      </w:r>
    </w:p>
    <w:p>
      <w:pPr>
        <w:pStyle w:val="ListBullet"/>
        <w:spacing w:after="60"/>
        <w:ind w:left="360"/>
      </w:pPr>
      <w:r>
        <w:t>Investigate credible concerns fairly and take proportionate corrective action.</w:t>
      </w:r>
    </w:p>
    <w:p>
      <w:pPr>
        <w:pStyle w:val="ListBullet"/>
        <w:spacing w:after="60"/>
        <w:ind w:left="360"/>
      </w:pPr>
      <w:r>
        <w:t>Monitor effectiveness and improve the programme when risks or circumstances change.</w:t>
      </w:r>
    </w:p>
    <w:p>
      <w:pPr>
        <w:pStyle w:val="Heading2"/>
      </w:pPr>
      <w:r>
        <w:t>Immediate Rule</w:t>
      </w:r>
    </w:p>
    <w:p>
      <w:r>
        <w:t>If you are unsure whether an action is permitted, do not proceed until you receive advice or approval through the authorised process.</w:t>
      </w:r>
    </w:p>
    <w:p>
      <w:r>
        <w:br w:type="page"/>
      </w:r>
    </w:p>
    <w:p>
      <w:pPr>
        <w:pStyle w:val="Heading1"/>
      </w:pPr>
      <w:r>
        <w:t>Section 1 Purpose and Objectives</w:t>
      </w:r>
    </w:p>
    <w:p>
      <w:r>
        <w:t>This policy establishes the minimum rules and responsibilities for preventing, identifying, reporting and responding to bribery and corruption. It is designed to protect the organisation, its people, business partners, customers, public resources and communities from improper influence and concealed conflicts.</w:t>
      </w:r>
    </w:p>
    <w:p>
      <w:pPr>
        <w:pStyle w:val="Heading2"/>
      </w:pPr>
      <w:r>
        <w:t>Objectives</w:t>
      </w:r>
    </w:p>
    <w:p>
      <w:pPr>
        <w:pStyle w:val="ListBullet"/>
        <w:spacing w:after="60"/>
        <w:ind w:left="360"/>
      </w:pPr>
      <w:r>
        <w:t>Define bribery, corruption and related prohibited conduct in practical terms.</w:t>
      </w:r>
    </w:p>
    <w:p>
      <w:pPr>
        <w:pStyle w:val="ListBullet"/>
        <w:spacing w:after="60"/>
        <w:ind w:left="360"/>
      </w:pPr>
      <w:r>
        <w:t>Set clear rules for dealings with public officials and private-sector parties.</w:t>
      </w:r>
    </w:p>
    <w:p>
      <w:pPr>
        <w:pStyle w:val="ListBullet"/>
        <w:spacing w:after="60"/>
        <w:ind w:left="360"/>
      </w:pPr>
      <w:r>
        <w:t>Control gifts, hospitality, travel, donations, sponsorships, political activity and other benefits.</w:t>
      </w:r>
    </w:p>
    <w:p>
      <w:pPr>
        <w:pStyle w:val="ListBullet"/>
        <w:spacing w:after="60"/>
        <w:ind w:left="360"/>
      </w:pPr>
      <w:r>
        <w:t>Apply risk-based due diligence and oversight to third parties and transactions.</w:t>
      </w:r>
    </w:p>
    <w:p>
      <w:pPr>
        <w:pStyle w:val="ListBullet"/>
        <w:spacing w:after="60"/>
        <w:ind w:left="360"/>
      </w:pPr>
      <w:r>
        <w:t>Ensure payments, approvals and accounting records are complete and accurate.</w:t>
      </w:r>
    </w:p>
    <w:p>
      <w:pPr>
        <w:pStyle w:val="ListBullet"/>
        <w:spacing w:after="60"/>
        <w:ind w:left="360"/>
      </w:pPr>
      <w:r>
        <w:t>Require prompt reporting of concerns, requests and red flags.</w:t>
      </w:r>
    </w:p>
    <w:p>
      <w:pPr>
        <w:pStyle w:val="ListBullet"/>
        <w:spacing w:after="60"/>
        <w:ind w:left="360"/>
      </w:pPr>
      <w:r>
        <w:t>Support fair investigation, discipline, remediation and continuous improvement.</w:t>
      </w:r>
    </w:p>
    <w:p>
      <w:pPr>
        <w:pStyle w:val="Heading2"/>
      </w:pPr>
      <w:r>
        <w:t>Relationship to Law and Other Policies</w:t>
      </w:r>
    </w:p>
    <w:p>
      <w:r>
        <w:t>This policy is a minimum standard. Where law, regulation, contract or another organisational rule is stricter, the stricter requirement applies. Local supplements may address specific legal requirements but must not weaken this policy without written approval from the policy owner and legal function.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Related code of conduct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Gifts and hospitality policy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Third-party due diligence procedure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Conflict-of-interest policy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Whistleblowing policy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Investigation procedure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Records-retention schedule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 Scope and Application</w:t>
      </w:r>
    </w:p>
    <w:p>
      <w:r>
        <w:t>This policy applies to all directors, officers, employees, temporary workers, secondees and others working under the organisation’s direction. Relevant requirements must also be applied through contracts, due diligence and oversight to agents, consultants, distributors, intermediaries, joint-venture partners, contractors, suppliers and other associated persons.</w:t>
      </w:r>
    </w:p>
    <w:p>
      <w:pPr>
        <w:pStyle w:val="Heading2"/>
      </w:pPr>
      <w:r>
        <w:t>Activities Covered</w:t>
      </w:r>
    </w:p>
    <w:p>
      <w:pPr>
        <w:pStyle w:val="ListBullet"/>
        <w:spacing w:after="60"/>
        <w:ind w:left="360"/>
      </w:pPr>
      <w:r>
        <w:t>Sales, marketing, procurement, licensing, customs, tax and regulatory interactions.</w:t>
      </w:r>
    </w:p>
    <w:p>
      <w:pPr>
        <w:pStyle w:val="ListBullet"/>
        <w:spacing w:after="60"/>
        <w:ind w:left="360"/>
      </w:pPr>
      <w:r>
        <w:t>Gifts, hospitality, travel, entertainment, sponsorships and events.</w:t>
      </w:r>
    </w:p>
    <w:p>
      <w:pPr>
        <w:pStyle w:val="ListBullet"/>
        <w:spacing w:after="60"/>
        <w:ind w:left="360"/>
      </w:pPr>
      <w:r>
        <w:t>Charitable, community and political contributions.</w:t>
      </w:r>
    </w:p>
    <w:p>
      <w:pPr>
        <w:pStyle w:val="ListBullet"/>
        <w:spacing w:after="60"/>
        <w:ind w:left="360"/>
      </w:pPr>
      <w:r>
        <w:t>Recruitment, internships, scholarships and other opportunities.</w:t>
      </w:r>
    </w:p>
    <w:p>
      <w:pPr>
        <w:pStyle w:val="ListBullet"/>
        <w:spacing w:after="60"/>
        <w:ind w:left="360"/>
      </w:pPr>
      <w:r>
        <w:t>Discounts, rebates, commissions, bonuses, credits and refunds.</w:t>
      </w:r>
    </w:p>
    <w:p>
      <w:pPr>
        <w:pStyle w:val="ListBullet"/>
        <w:spacing w:after="60"/>
        <w:ind w:left="360"/>
      </w:pPr>
      <w:r>
        <w:t>Mergers, acquisitions, joint ventures and investments.</w:t>
      </w:r>
    </w:p>
    <w:p>
      <w:pPr>
        <w:pStyle w:val="ListBullet"/>
        <w:spacing w:after="60"/>
        <w:ind w:left="360"/>
      </w:pPr>
      <w:r>
        <w:t>Use of agents, brokers, advisers, introducers and subcontractors.</w:t>
      </w:r>
    </w:p>
    <w:p>
      <w:pPr>
        <w:pStyle w:val="ListBullet"/>
        <w:spacing w:after="60"/>
        <w:ind w:left="360"/>
      </w:pPr>
      <w:r>
        <w:t>Interactions with governments, public officials and state-owned entities.</w:t>
      </w:r>
    </w:p>
    <w:p>
      <w:pPr>
        <w:pStyle w:val="Heading2"/>
      </w:pPr>
      <w:r>
        <w:t>Personal Responsibility</w:t>
      </w:r>
    </w:p>
    <w:p>
      <w:r>
        <w:t>Every covered person must read, understand and comply with this policy; complete required training and declarations; seek advice where uncertain; preserve relevant records; and report suspected breaches promptly. Managers must not instruct, pressure or allow others to bypass these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Entities in scope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Countries in scope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Excluded entity and rationale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Local policy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for local variation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3 Definitions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5"/>
              </w:rPr>
              <w:t>Term</w:t>
            </w:r>
          </w:p>
        </w:tc>
        <w:tc>
          <w:tcPr>
            <w:tcW w:type="dxa" w:w="7560"/>
            <w:shd w:fill="17365D"/>
            <w:tcMar>
              <w:top w:w="65" w:type="dxa"/>
              <w:start w:w="65" w:type="dxa"/>
              <w:bottom w:w="65" w:type="dxa"/>
              <w:end w:w="65" w:type="dxa"/>
            </w:tcMar>
            <w:vAlign w:val="center"/>
          </w:tcPr>
          <w:p>
            <w:r>
              <w:rPr>
                <w:b/>
                <w:color w:val="FFFFFF"/>
                <w:sz w:val="15"/>
              </w:rPr>
              <w:t>Policy meaning</w:t>
            </w:r>
          </w:p>
        </w:tc>
      </w:tr>
      <w:tr>
        <w:trPr>
          <w:cantSplit/>
        </w:trPr>
        <w:tc>
          <w:tcPr>
            <w:tcW w:type="dxa" w:w="2232"/>
            <w:tcMar>
              <w:top w:w="65" w:type="dxa"/>
              <w:start w:w="65" w:type="dxa"/>
              <w:bottom w:w="65" w:type="dxa"/>
              <w:end w:w="65" w:type="dxa"/>
            </w:tcMar>
            <w:vAlign w:val="center"/>
          </w:tcPr>
          <w:p>
            <w:pPr>
              <w:spacing w:after="0" w:line="235" w:lineRule="auto"/>
            </w:pPr>
            <w:r>
              <w:rPr>
                <w:sz w:val="15"/>
              </w:rPr>
              <w:t>Anything of value</w:t>
            </w:r>
          </w:p>
        </w:tc>
        <w:tc>
          <w:tcPr>
            <w:tcW w:type="dxa" w:w="7560"/>
            <w:tcMar>
              <w:top w:w="65" w:type="dxa"/>
              <w:start w:w="65" w:type="dxa"/>
              <w:bottom w:w="65" w:type="dxa"/>
              <w:end w:w="65" w:type="dxa"/>
            </w:tcMar>
            <w:vAlign w:val="center"/>
          </w:tcPr>
          <w:p>
            <w:pPr>
              <w:spacing w:after="0" w:line="235" w:lineRule="auto"/>
            </w:pPr>
            <w:r>
              <w:rPr>
                <w:sz w:val="15"/>
              </w:rPr>
              <w:t>Money or any financial or non-financial benefit, including gifts, meals, travel, accommodation, entertainment, jobs, internships, discounts, favours, donations, confidential information or personal advantage.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5"/>
              </w:rPr>
              <w:t>Bribe</w:t>
            </w:r>
          </w:p>
        </w:tc>
        <w:tc>
          <w:tcPr>
            <w:tcW w:type="dxa" w:w="7560"/>
            <w:tcMar>
              <w:top w:w="65" w:type="dxa"/>
              <w:start w:w="65" w:type="dxa"/>
              <w:bottom w:w="65" w:type="dxa"/>
              <w:end w:w="65" w:type="dxa"/>
            </w:tcMar>
            <w:vAlign w:val="center"/>
            <w:shd w:fill="F4F7FA"/>
          </w:tcPr>
          <w:p>
            <w:pPr>
              <w:spacing w:after="0" w:line="235" w:lineRule="auto"/>
            </w:pPr>
            <w:r>
              <w:rPr>
                <w:sz w:val="15"/>
              </w:rPr>
              <w:t>Anything of value offered, promised, given, requested or accepted to induce, reward or secure improper performance or an improper advantage.</w:t>
            </w:r>
          </w:p>
        </w:tc>
      </w:tr>
      <w:tr>
        <w:trPr>
          <w:cantSplit/>
        </w:trPr>
        <w:tc>
          <w:tcPr>
            <w:tcW w:type="dxa" w:w="2232"/>
            <w:tcMar>
              <w:top w:w="65" w:type="dxa"/>
              <w:start w:w="65" w:type="dxa"/>
              <w:bottom w:w="65" w:type="dxa"/>
              <w:end w:w="65" w:type="dxa"/>
            </w:tcMar>
            <w:vAlign w:val="center"/>
          </w:tcPr>
          <w:p>
            <w:pPr>
              <w:spacing w:after="0" w:line="235" w:lineRule="auto"/>
            </w:pPr>
            <w:r>
              <w:rPr>
                <w:sz w:val="15"/>
              </w:rPr>
              <w:t>Corruption</w:t>
            </w:r>
          </w:p>
        </w:tc>
        <w:tc>
          <w:tcPr>
            <w:tcW w:type="dxa" w:w="7560"/>
            <w:tcMar>
              <w:top w:w="65" w:type="dxa"/>
              <w:start w:w="65" w:type="dxa"/>
              <w:bottom w:w="65" w:type="dxa"/>
              <w:end w:w="65" w:type="dxa"/>
            </w:tcMar>
            <w:vAlign w:val="center"/>
          </w:tcPr>
          <w:p>
            <w:pPr>
              <w:spacing w:after="0" w:line="235" w:lineRule="auto"/>
            </w:pPr>
            <w:r>
              <w:rPr>
                <w:sz w:val="15"/>
              </w:rPr>
              <w:t>Abuse of entrusted power, office, influence or resources for private or improper benefit.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5"/>
              </w:rPr>
              <w:t>Kickback</w:t>
            </w:r>
          </w:p>
        </w:tc>
        <w:tc>
          <w:tcPr>
            <w:tcW w:type="dxa" w:w="7560"/>
            <w:tcMar>
              <w:top w:w="65" w:type="dxa"/>
              <w:start w:w="65" w:type="dxa"/>
              <w:bottom w:w="65" w:type="dxa"/>
              <w:end w:w="65" w:type="dxa"/>
            </w:tcMar>
            <w:vAlign w:val="center"/>
            <w:shd w:fill="F4F7FA"/>
          </w:tcPr>
          <w:p>
            <w:pPr>
              <w:spacing w:after="0" w:line="235" w:lineRule="auto"/>
            </w:pPr>
            <w:r>
              <w:rPr>
                <w:sz w:val="15"/>
              </w:rPr>
              <w:t>A return of part of a payment, fee or benefit as a reward for improper assistance or influence.</w:t>
            </w:r>
          </w:p>
        </w:tc>
      </w:tr>
      <w:tr>
        <w:trPr>
          <w:cantSplit/>
        </w:trPr>
        <w:tc>
          <w:tcPr>
            <w:tcW w:type="dxa" w:w="2232"/>
            <w:tcMar>
              <w:top w:w="65" w:type="dxa"/>
              <w:start w:w="65" w:type="dxa"/>
              <w:bottom w:w="65" w:type="dxa"/>
              <w:end w:w="65" w:type="dxa"/>
            </w:tcMar>
            <w:vAlign w:val="center"/>
          </w:tcPr>
          <w:p>
            <w:pPr>
              <w:spacing w:after="0" w:line="235" w:lineRule="auto"/>
            </w:pPr>
            <w:r>
              <w:rPr>
                <w:sz w:val="15"/>
              </w:rPr>
              <w:t>Facilitation payment</w:t>
            </w:r>
          </w:p>
        </w:tc>
        <w:tc>
          <w:tcPr>
            <w:tcW w:type="dxa" w:w="7560"/>
            <w:tcMar>
              <w:top w:w="65" w:type="dxa"/>
              <w:start w:w="65" w:type="dxa"/>
              <w:bottom w:w="65" w:type="dxa"/>
              <w:end w:w="65" w:type="dxa"/>
            </w:tcMar>
            <w:vAlign w:val="center"/>
          </w:tcPr>
          <w:p>
            <w:pPr>
              <w:spacing w:after="0" w:line="235" w:lineRule="auto"/>
            </w:pPr>
            <w:r>
              <w:rPr>
                <w:sz w:val="15"/>
              </w:rPr>
              <w:t>A small unofficial payment intended to speed up or secure a routine action to which the payer is already entitled.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5"/>
              </w:rPr>
              <w:t>Public official</w:t>
            </w:r>
          </w:p>
        </w:tc>
        <w:tc>
          <w:tcPr>
            <w:tcW w:type="dxa" w:w="7560"/>
            <w:tcMar>
              <w:top w:w="65" w:type="dxa"/>
              <w:start w:w="65" w:type="dxa"/>
              <w:bottom w:w="65" w:type="dxa"/>
              <w:end w:w="65" w:type="dxa"/>
            </w:tcMar>
            <w:vAlign w:val="center"/>
            <w:shd w:fill="F4F7FA"/>
          </w:tcPr>
          <w:p>
            <w:pPr>
              <w:spacing w:after="0" w:line="235" w:lineRule="auto"/>
            </w:pPr>
            <w:r>
              <w:rPr>
                <w:sz w:val="15"/>
              </w:rPr>
              <w:t>Any elected, appointed or employed person exercising a legislative, administrative, judicial, regulatory, military or public function, including employees of state-owned or controlled entities and officials of public international organisations.</w:t>
            </w:r>
          </w:p>
        </w:tc>
      </w:tr>
      <w:tr>
        <w:trPr>
          <w:cantSplit/>
        </w:trPr>
        <w:tc>
          <w:tcPr>
            <w:tcW w:type="dxa" w:w="2232"/>
            <w:tcMar>
              <w:top w:w="65" w:type="dxa"/>
              <w:start w:w="65" w:type="dxa"/>
              <w:bottom w:w="65" w:type="dxa"/>
              <w:end w:w="65" w:type="dxa"/>
            </w:tcMar>
            <w:vAlign w:val="center"/>
          </w:tcPr>
          <w:p>
            <w:pPr>
              <w:spacing w:after="0" w:line="235" w:lineRule="auto"/>
            </w:pPr>
            <w:r>
              <w:rPr>
                <w:sz w:val="15"/>
              </w:rPr>
              <w:t>Associated person</w:t>
            </w:r>
          </w:p>
        </w:tc>
        <w:tc>
          <w:tcPr>
            <w:tcW w:type="dxa" w:w="7560"/>
            <w:tcMar>
              <w:top w:w="65" w:type="dxa"/>
              <w:start w:w="65" w:type="dxa"/>
              <w:bottom w:w="65" w:type="dxa"/>
              <w:end w:w="65" w:type="dxa"/>
            </w:tcMar>
            <w:vAlign w:val="center"/>
          </w:tcPr>
          <w:p>
            <w:pPr>
              <w:spacing w:after="0" w:line="235" w:lineRule="auto"/>
            </w:pPr>
            <w:r>
              <w:rPr>
                <w:sz w:val="15"/>
              </w:rPr>
              <w:t>A person or entity performing services for or on behalf of the organisation.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5"/>
              </w:rPr>
              <w:t>Improper advantage</w:t>
            </w:r>
          </w:p>
        </w:tc>
        <w:tc>
          <w:tcPr>
            <w:tcW w:type="dxa" w:w="7560"/>
            <w:tcMar>
              <w:top w:w="65" w:type="dxa"/>
              <w:start w:w="65" w:type="dxa"/>
              <w:bottom w:w="65" w:type="dxa"/>
              <w:end w:w="65" w:type="dxa"/>
            </w:tcMar>
            <w:vAlign w:val="center"/>
            <w:shd w:fill="F4F7FA"/>
          </w:tcPr>
          <w:p>
            <w:pPr>
              <w:spacing w:after="0" w:line="235" w:lineRule="auto"/>
            </w:pPr>
            <w:r>
              <w:rPr>
                <w:sz w:val="15"/>
              </w:rPr>
              <w:t>A benefit, decision, opportunity, permission, omission or preferential treatment obtained through improper influence.</w:t>
            </w:r>
          </w:p>
        </w:tc>
      </w:tr>
      <w:tr>
        <w:trPr>
          <w:cantSplit/>
        </w:trPr>
        <w:tc>
          <w:tcPr>
            <w:tcW w:type="dxa" w:w="2232"/>
            <w:tcMar>
              <w:top w:w="65" w:type="dxa"/>
              <w:start w:w="65" w:type="dxa"/>
              <w:bottom w:w="65" w:type="dxa"/>
              <w:end w:w="65" w:type="dxa"/>
            </w:tcMar>
            <w:vAlign w:val="center"/>
          </w:tcPr>
          <w:p>
            <w:pPr>
              <w:spacing w:after="0" w:line="235" w:lineRule="auto"/>
            </w:pPr>
            <w:r>
              <w:rPr>
                <w:sz w:val="15"/>
              </w:rPr>
              <w:t>Conflict of interest</w:t>
            </w:r>
          </w:p>
        </w:tc>
        <w:tc>
          <w:tcPr>
            <w:tcW w:type="dxa" w:w="7560"/>
            <w:tcMar>
              <w:top w:w="65" w:type="dxa"/>
              <w:start w:w="65" w:type="dxa"/>
              <w:bottom w:w="65" w:type="dxa"/>
              <w:end w:w="65" w:type="dxa"/>
            </w:tcMar>
            <w:vAlign w:val="center"/>
          </w:tcPr>
          <w:p>
            <w:pPr>
              <w:spacing w:after="0" w:line="235" w:lineRule="auto"/>
            </w:pPr>
            <w:r>
              <w:rPr>
                <w:sz w:val="15"/>
              </w:rPr>
              <w:t>A situation in which personal, financial or other interests could influence or appear to influence an organisational decision.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5"/>
              </w:rPr>
              <w:t>Retaliation</w:t>
            </w:r>
          </w:p>
        </w:tc>
        <w:tc>
          <w:tcPr>
            <w:tcW w:type="dxa" w:w="7560"/>
            <w:tcMar>
              <w:top w:w="65" w:type="dxa"/>
              <w:start w:w="65" w:type="dxa"/>
              <w:bottom w:w="65" w:type="dxa"/>
              <w:end w:w="65" w:type="dxa"/>
            </w:tcMar>
            <w:vAlign w:val="center"/>
            <w:shd w:fill="F4F7FA"/>
          </w:tcPr>
          <w:p>
            <w:pPr>
              <w:spacing w:after="0" w:line="235" w:lineRule="auto"/>
            </w:pPr>
            <w:r>
              <w:rPr>
                <w:sz w:val="15"/>
              </w:rPr>
              <w:t>Any threat, punishment or disadvantage linked to refusing misconduct, reporting a concern or participating in a review.</w:t>
            </w:r>
          </w:p>
        </w:tc>
      </w:tr>
    </w:tbl>
    <w:p>
      <w:pPr>
        <w:spacing w:after="0"/>
      </w:pPr>
    </w:p>
    <w:p>
      <w:r>
        <w:br w:type="page"/>
      </w:r>
    </w:p>
    <w:p>
      <w:pPr>
        <w:pStyle w:val="Heading1"/>
      </w:pPr>
      <w:r>
        <w:t>Section 4 Prohibited Conduct</w:t>
      </w:r>
    </w:p>
    <w:p>
      <w:r>
        <w:t>Covered persons and associated persons must not directly or indirectly:</w:t>
      </w:r>
    </w:p>
    <w:p>
      <w:pPr>
        <w:pStyle w:val="ListBullet"/>
        <w:spacing w:after="60"/>
        <w:ind w:left="360"/>
      </w:pPr>
      <w:r>
        <w:t>Offer, promise, give, authorise, request or accept a bribe, kickback or improper benefit.</w:t>
      </w:r>
    </w:p>
    <w:p>
      <w:pPr>
        <w:pStyle w:val="ListBullet"/>
        <w:spacing w:after="60"/>
        <w:ind w:left="360"/>
      </w:pPr>
      <w:r>
        <w:t>Use a third party, relative, charity, customer, supplier or other channel to do what this policy prohibits.</w:t>
      </w:r>
    </w:p>
    <w:p>
      <w:pPr>
        <w:pStyle w:val="ListBullet"/>
        <w:spacing w:after="60"/>
        <w:ind w:left="360"/>
      </w:pPr>
      <w:r>
        <w:t>Pay or receive facilitation payments except where an immediate and credible threat to health or safety leaves no reasonable alternative.</w:t>
      </w:r>
    </w:p>
    <w:p>
      <w:pPr>
        <w:pStyle w:val="ListBullet"/>
        <w:spacing w:after="60"/>
        <w:ind w:left="360"/>
      </w:pPr>
      <w:r>
        <w:t>Falsify, conceal, misclassify or inadequately describe a transaction, payment, relationship or approval.</w:t>
      </w:r>
    </w:p>
    <w:p>
      <w:pPr>
        <w:pStyle w:val="ListBullet"/>
        <w:spacing w:after="60"/>
        <w:ind w:left="360"/>
      </w:pPr>
      <w:r>
        <w:t>Split payments, contracts, gifts or transactions to avoid thresholds or review.</w:t>
      </w:r>
    </w:p>
    <w:p>
      <w:pPr>
        <w:pStyle w:val="ListBullet"/>
        <w:spacing w:after="60"/>
        <w:ind w:left="360"/>
      </w:pPr>
      <w:r>
        <w:t>Provide cash, cash equivalents or personal payments outside approved procedures.</w:t>
      </w:r>
    </w:p>
    <w:p>
      <w:pPr>
        <w:pStyle w:val="ListBullet"/>
        <w:spacing w:after="60"/>
        <w:ind w:left="360"/>
      </w:pPr>
      <w:r>
        <w:t>Influence recruitment, procurement, inspection, licensing, tax, customs or other decisions through personal benefit.</w:t>
      </w:r>
    </w:p>
    <w:p>
      <w:pPr>
        <w:pStyle w:val="ListBullet"/>
        <w:spacing w:after="60"/>
        <w:ind w:left="360"/>
      </w:pPr>
      <w:r>
        <w:t>Make unofficial payments to obtain permits, release goods, secure services or avoid lawful obligations.</w:t>
      </w:r>
    </w:p>
    <w:p>
      <w:pPr>
        <w:pStyle w:val="ListBullet"/>
        <w:spacing w:after="60"/>
        <w:ind w:left="360"/>
      </w:pPr>
      <w:r>
        <w:t>Retaliate against a person who refuses, reports or assists with a concern.</w:t>
      </w:r>
    </w:p>
    <w:p>
      <w:pPr>
        <w:pStyle w:val="ListBullet"/>
        <w:spacing w:after="60"/>
        <w:ind w:left="360"/>
      </w:pPr>
      <w:r>
        <w:t>Ignore, conceal, suppress or fail to escalate a credible bribery or corruption red flag.</w:t>
      </w:r>
    </w:p>
    <w:p>
      <w:pPr>
        <w:pStyle w:val="Heading2"/>
      </w:pPr>
      <w:r>
        <w:t>Examples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4032"/>
            <w:shd w:fill="17365D"/>
            <w:tcMar>
              <w:top w:w="65" w:type="dxa"/>
              <w:start w:w="65" w:type="dxa"/>
              <w:bottom w:w="65" w:type="dxa"/>
              <w:end w:w="65" w:type="dxa"/>
            </w:tcMar>
            <w:vAlign w:val="center"/>
          </w:tcPr>
          <w:p>
            <w:r>
              <w:rPr>
                <w:b/>
                <w:color w:val="FFFFFF"/>
                <w:sz w:val="15"/>
              </w:rPr>
              <w:t>Scenario</w:t>
            </w:r>
          </w:p>
        </w:tc>
        <w:tc>
          <w:tcPr>
            <w:tcW w:type="dxa" w:w="5760"/>
            <w:shd w:fill="17365D"/>
            <w:tcMar>
              <w:top w:w="65" w:type="dxa"/>
              <w:start w:w="65" w:type="dxa"/>
              <w:bottom w:w="65" w:type="dxa"/>
              <w:end w:w="65" w:type="dxa"/>
            </w:tcMar>
            <w:vAlign w:val="center"/>
          </w:tcPr>
          <w:p>
            <w:r>
              <w:rPr>
                <w:b/>
                <w:color w:val="FFFFFF"/>
                <w:sz w:val="15"/>
              </w:rPr>
              <w:t>Why prohibited</w:t>
            </w:r>
          </w:p>
        </w:tc>
      </w:tr>
      <w:tr>
        <w:trPr>
          <w:cantSplit/>
        </w:trPr>
        <w:tc>
          <w:tcPr>
            <w:tcW w:type="dxa" w:w="4032"/>
            <w:tcMar>
              <w:top w:w="65" w:type="dxa"/>
              <w:start w:w="65" w:type="dxa"/>
              <w:bottom w:w="65" w:type="dxa"/>
              <w:end w:w="65" w:type="dxa"/>
            </w:tcMar>
            <w:vAlign w:val="center"/>
          </w:tcPr>
          <w:p>
            <w:pPr>
              <w:spacing w:after="0" w:line="235" w:lineRule="auto"/>
            </w:pPr>
            <w:r>
              <w:rPr>
                <w:sz w:val="15"/>
              </w:rPr>
              <w:t>A supplier offers a procurement employee a percentage of the contract value.</w:t>
            </w:r>
          </w:p>
        </w:tc>
        <w:tc>
          <w:tcPr>
            <w:tcW w:type="dxa" w:w="5760"/>
            <w:tcMar>
              <w:top w:w="65" w:type="dxa"/>
              <w:start w:w="65" w:type="dxa"/>
              <w:bottom w:w="65" w:type="dxa"/>
              <w:end w:w="65" w:type="dxa"/>
            </w:tcMar>
            <w:vAlign w:val="center"/>
          </w:tcPr>
          <w:p>
            <w:pPr>
              <w:spacing w:after="0" w:line="235" w:lineRule="auto"/>
            </w:pPr>
            <w:r>
              <w:rPr>
                <w:sz w:val="15"/>
              </w:rPr>
              <w:t>The benefit rewards improper influence over an organisational decision.</w:t>
            </w:r>
          </w:p>
        </w:tc>
      </w:tr>
      <w:tr>
        <w:trPr>
          <w:cantSplit/>
        </w:trPr>
        <w:tc>
          <w:tcPr>
            <w:tcW w:type="dxa" w:w="4032"/>
            <w:tcMar>
              <w:top w:w="65" w:type="dxa"/>
              <w:start w:w="65" w:type="dxa"/>
              <w:bottom w:w="65" w:type="dxa"/>
              <w:end w:w="65" w:type="dxa"/>
            </w:tcMar>
            <w:vAlign w:val="center"/>
            <w:shd w:fill="F4F7FA"/>
          </w:tcPr>
          <w:p>
            <w:pPr>
              <w:spacing w:after="0" w:line="235" w:lineRule="auto"/>
            </w:pPr>
            <w:r>
              <w:rPr>
                <w:sz w:val="15"/>
              </w:rPr>
              <w:t>A sales agent requests an unexplained success fee paid to an unrelated account.</w:t>
            </w:r>
          </w:p>
        </w:tc>
        <w:tc>
          <w:tcPr>
            <w:tcW w:type="dxa" w:w="5760"/>
            <w:tcMar>
              <w:top w:w="65" w:type="dxa"/>
              <w:start w:w="65" w:type="dxa"/>
              <w:bottom w:w="65" w:type="dxa"/>
              <w:end w:w="65" w:type="dxa"/>
            </w:tcMar>
            <w:vAlign w:val="center"/>
            <w:shd w:fill="F4F7FA"/>
          </w:tcPr>
          <w:p>
            <w:pPr>
              <w:spacing w:after="0" w:line="235" w:lineRule="auto"/>
            </w:pPr>
            <w:r>
              <w:rPr>
                <w:sz w:val="15"/>
              </w:rPr>
              <w:t>The structure may conceal a bribe or improper recipient.</w:t>
            </w:r>
          </w:p>
        </w:tc>
      </w:tr>
      <w:tr>
        <w:trPr>
          <w:cantSplit/>
        </w:trPr>
        <w:tc>
          <w:tcPr>
            <w:tcW w:type="dxa" w:w="4032"/>
            <w:tcMar>
              <w:top w:w="65" w:type="dxa"/>
              <w:start w:w="65" w:type="dxa"/>
              <w:bottom w:w="65" w:type="dxa"/>
              <w:end w:w="65" w:type="dxa"/>
            </w:tcMar>
            <w:vAlign w:val="center"/>
          </w:tcPr>
          <w:p>
            <w:pPr>
              <w:spacing w:after="0" w:line="235" w:lineRule="auto"/>
            </w:pPr>
            <w:r>
              <w:rPr>
                <w:sz w:val="15"/>
              </w:rPr>
              <w:t>An official asks for a personal payment to issue a routine permit.</w:t>
            </w:r>
          </w:p>
        </w:tc>
        <w:tc>
          <w:tcPr>
            <w:tcW w:type="dxa" w:w="5760"/>
            <w:tcMar>
              <w:top w:w="65" w:type="dxa"/>
              <w:start w:w="65" w:type="dxa"/>
              <w:bottom w:w="65" w:type="dxa"/>
              <w:end w:w="65" w:type="dxa"/>
            </w:tcMar>
            <w:vAlign w:val="center"/>
          </w:tcPr>
          <w:p>
            <w:pPr>
              <w:spacing w:after="0" w:line="235" w:lineRule="auto"/>
            </w:pPr>
            <w:r>
              <w:rPr>
                <w:sz w:val="15"/>
              </w:rPr>
              <w:t>The request is an improper unofficial payment.</w:t>
            </w:r>
          </w:p>
        </w:tc>
      </w:tr>
      <w:tr>
        <w:trPr>
          <w:cantSplit/>
        </w:trPr>
        <w:tc>
          <w:tcPr>
            <w:tcW w:type="dxa" w:w="4032"/>
            <w:tcMar>
              <w:top w:w="65" w:type="dxa"/>
              <w:start w:w="65" w:type="dxa"/>
              <w:bottom w:w="65" w:type="dxa"/>
              <w:end w:w="65" w:type="dxa"/>
            </w:tcMar>
            <w:vAlign w:val="center"/>
            <w:shd w:fill="F4F7FA"/>
          </w:tcPr>
          <w:p>
            <w:pPr>
              <w:spacing w:after="0" w:line="235" w:lineRule="auto"/>
            </w:pPr>
            <w:r>
              <w:rPr>
                <w:sz w:val="15"/>
              </w:rPr>
              <w:t>A manager asks that hospitality be recorded as training.</w:t>
            </w:r>
          </w:p>
        </w:tc>
        <w:tc>
          <w:tcPr>
            <w:tcW w:type="dxa" w:w="5760"/>
            <w:tcMar>
              <w:top w:w="65" w:type="dxa"/>
              <w:start w:w="65" w:type="dxa"/>
              <w:bottom w:w="65" w:type="dxa"/>
              <w:end w:w="65" w:type="dxa"/>
            </w:tcMar>
            <w:vAlign w:val="center"/>
            <w:shd w:fill="F4F7FA"/>
          </w:tcPr>
          <w:p>
            <w:pPr>
              <w:spacing w:after="0" w:line="235" w:lineRule="auto"/>
            </w:pPr>
            <w:r>
              <w:rPr>
                <w:sz w:val="15"/>
              </w:rPr>
              <w:t>Misclassification conceals the true nature of the expense.</w:t>
            </w:r>
          </w:p>
        </w:tc>
      </w:tr>
    </w:tbl>
    <w:p>
      <w:pPr>
        <w:spacing w:after="0"/>
      </w:pPr>
    </w:p>
    <w:p>
      <w:r>
        <w:br w:type="page"/>
      </w:r>
    </w:p>
    <w:p>
      <w:pPr>
        <w:pStyle w:val="Heading1"/>
      </w:pPr>
      <w:r>
        <w:t>Section 5 Public Officials and Government Interactions</w:t>
      </w:r>
    </w:p>
    <w:p>
      <w:r>
        <w:t>Interactions with public officials present heightened risk. Legitimate engagement is permitted only for a lawful, documented business purpose and must follow applicable approval, registration, transparency and recordkeeping requirements. The definition of public official must be interpreted broadly.</w:t>
      </w:r>
    </w:p>
    <w:p>
      <w:pPr>
        <w:pStyle w:val="Heading2"/>
      </w:pPr>
      <w:r>
        <w:t>Required Controls</w:t>
      </w:r>
    </w:p>
    <w:p>
      <w:pPr>
        <w:pStyle w:val="ListBullet"/>
        <w:spacing w:after="60"/>
        <w:ind w:left="360"/>
      </w:pPr>
      <w:r>
        <w:t>Identify the official, agency, state-owned entity and purpose of the interaction.</w:t>
      </w:r>
    </w:p>
    <w:p>
      <w:pPr>
        <w:pStyle w:val="ListBullet"/>
        <w:spacing w:after="60"/>
        <w:ind w:left="360"/>
      </w:pPr>
      <w:r>
        <w:t>Use authorised personnel and approved communication channels.</w:t>
      </w:r>
    </w:p>
    <w:p>
      <w:pPr>
        <w:pStyle w:val="ListBullet"/>
        <w:spacing w:after="60"/>
        <w:ind w:left="360"/>
      </w:pPr>
      <w:r>
        <w:t>Obtain advance approval for anything of value offered to or for an official.</w:t>
      </w:r>
    </w:p>
    <w:p>
      <w:pPr>
        <w:pStyle w:val="ListBullet"/>
        <w:spacing w:after="60"/>
        <w:ind w:left="360"/>
      </w:pPr>
      <w:r>
        <w:t>Avoid cash, cash equivalents, personal benefits and payments to unrelated accounts.</w:t>
      </w:r>
    </w:p>
    <w:p>
      <w:pPr>
        <w:pStyle w:val="ListBullet"/>
        <w:spacing w:after="60"/>
        <w:ind w:left="360"/>
      </w:pPr>
      <w:r>
        <w:t>Pay legitimate fees directly to the government body against an official invoice or receipt.</w:t>
      </w:r>
    </w:p>
    <w:p>
      <w:pPr>
        <w:pStyle w:val="ListBullet"/>
        <w:spacing w:after="60"/>
        <w:ind w:left="360"/>
      </w:pPr>
      <w:r>
        <w:t>Document meetings, participants, decisions, expenses and follow-up commitments.</w:t>
      </w:r>
    </w:p>
    <w:p>
      <w:pPr>
        <w:pStyle w:val="ListBullet"/>
        <w:spacing w:after="60"/>
        <w:ind w:left="360"/>
      </w:pPr>
      <w:r>
        <w:t>Apply enhanced due diligence to intermediaries who interact with officials.</w:t>
      </w:r>
    </w:p>
    <w:p>
      <w:pPr>
        <w:pStyle w:val="ListBullet"/>
        <w:spacing w:after="60"/>
        <w:ind w:left="360"/>
      </w:pPr>
      <w:r>
        <w:t>Escalate any request for an unofficial payment, benefit, job or donation.</w:t>
      </w:r>
    </w:p>
    <w:p>
      <w:pPr>
        <w:pStyle w:val="Heading2"/>
      </w:pPr>
      <w:r>
        <w:t>Prohibited Arrangements</w:t>
      </w:r>
    </w:p>
    <w:p>
      <w:r>
        <w:t>☐ Personal payment to secure a permit, inspection, visa, customs clearance or decision.</w:t>
      </w:r>
    </w:p>
    <w:p>
      <w:r>
        <w:t>☐ Gift or travel intended to influence an official action.</w:t>
      </w:r>
    </w:p>
    <w:p>
      <w:r>
        <w:t>☐ Employment or internship offered to affect an official’s decision.</w:t>
      </w:r>
    </w:p>
    <w:p>
      <w:r>
        <w:t>☐ Donation directed to an official’s preferred organisation in exchange for assistance.</w:t>
      </w:r>
    </w:p>
    <w:p>
      <w:r>
        <w:t>☐ Use of a consultant to channel undisclosed value to an official.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Government-interaction approval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Required evidence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Escalation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6 Gifts Hospitality Travel and Entertainment</w:t>
      </w:r>
    </w:p>
    <w:p>
      <w:r>
        <w:t>Gifts and hospitality must never be used to influence, reward or create an obligation. They must be lawful, reasonable, proportionate, infrequent, transparent, related to a legitimate business purpose and permitted by the recipient’s rules. Appearance matters: an item may be unacceptable even without proven corrupt intent.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5"/>
              </w:rPr>
              <w:t>Requirement</w:t>
            </w:r>
          </w:p>
        </w:tc>
        <w:tc>
          <w:tcPr>
            <w:tcW w:type="dxa" w:w="7704"/>
            <w:shd w:fill="17365D"/>
            <w:tcMar>
              <w:top w:w="65" w:type="dxa"/>
              <w:start w:w="65" w:type="dxa"/>
              <w:bottom w:w="65" w:type="dxa"/>
              <w:end w:w="65" w:type="dxa"/>
            </w:tcMar>
            <w:vAlign w:val="center"/>
          </w:tcPr>
          <w:p>
            <w:r>
              <w:rPr>
                <w:b/>
                <w:color w:val="FFFFFF"/>
                <w:sz w:val="15"/>
              </w:rPr>
              <w:t>Minimum rule</w:t>
            </w:r>
          </w:p>
        </w:tc>
      </w:tr>
      <w:tr>
        <w:trPr>
          <w:cantSplit/>
        </w:trPr>
        <w:tc>
          <w:tcPr>
            <w:tcW w:type="dxa" w:w="2088"/>
            <w:tcMar>
              <w:top w:w="65" w:type="dxa"/>
              <w:start w:w="65" w:type="dxa"/>
              <w:bottom w:w="65" w:type="dxa"/>
              <w:end w:w="65" w:type="dxa"/>
            </w:tcMar>
            <w:vAlign w:val="center"/>
          </w:tcPr>
          <w:p>
            <w:pPr>
              <w:spacing w:after="0" w:line="235" w:lineRule="auto"/>
            </w:pPr>
            <w:r>
              <w:rPr>
                <w:sz w:val="15"/>
              </w:rPr>
              <w:t>Purpose</w:t>
            </w:r>
          </w:p>
        </w:tc>
        <w:tc>
          <w:tcPr>
            <w:tcW w:type="dxa" w:w="7704"/>
            <w:tcMar>
              <w:top w:w="65" w:type="dxa"/>
              <w:start w:w="65" w:type="dxa"/>
              <w:bottom w:w="65" w:type="dxa"/>
              <w:end w:w="65" w:type="dxa"/>
            </w:tcMar>
            <w:vAlign w:val="center"/>
          </w:tcPr>
          <w:p>
            <w:pPr>
              <w:spacing w:after="0" w:line="235" w:lineRule="auto"/>
            </w:pPr>
            <w:r>
              <w:rPr>
                <w:sz w:val="15"/>
              </w:rPr>
              <w:t>A genuine business, courtesy or cultural purpose that does not seek improper influence.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5"/>
              </w:rPr>
              <w:t>Timing</w:t>
            </w:r>
          </w:p>
        </w:tc>
        <w:tc>
          <w:tcPr>
            <w:tcW w:type="dxa" w:w="7704"/>
            <w:tcMar>
              <w:top w:w="65" w:type="dxa"/>
              <w:start w:w="65" w:type="dxa"/>
              <w:bottom w:w="65" w:type="dxa"/>
              <w:end w:w="65" w:type="dxa"/>
            </w:tcMar>
            <w:vAlign w:val="center"/>
            <w:shd w:fill="F4F7FA"/>
          </w:tcPr>
          <w:p>
            <w:pPr>
              <w:spacing w:after="0" w:line="235" w:lineRule="auto"/>
            </w:pPr>
            <w:r>
              <w:rPr>
                <w:sz w:val="15"/>
              </w:rPr>
              <w:t>Not during a tender, negotiation, approval, dispute, inspection or other sensitive decision.</w:t>
            </w:r>
          </w:p>
        </w:tc>
      </w:tr>
      <w:tr>
        <w:trPr>
          <w:cantSplit/>
        </w:trPr>
        <w:tc>
          <w:tcPr>
            <w:tcW w:type="dxa" w:w="2088"/>
            <w:tcMar>
              <w:top w:w="65" w:type="dxa"/>
              <w:start w:w="65" w:type="dxa"/>
              <w:bottom w:w="65" w:type="dxa"/>
              <w:end w:w="65" w:type="dxa"/>
            </w:tcMar>
            <w:vAlign w:val="center"/>
          </w:tcPr>
          <w:p>
            <w:pPr>
              <w:spacing w:after="0" w:line="235" w:lineRule="auto"/>
            </w:pPr>
            <w:r>
              <w:rPr>
                <w:sz w:val="15"/>
              </w:rPr>
              <w:t>Value</w:t>
            </w:r>
          </w:p>
        </w:tc>
        <w:tc>
          <w:tcPr>
            <w:tcW w:type="dxa" w:w="7704"/>
            <w:tcMar>
              <w:top w:w="65" w:type="dxa"/>
              <w:start w:w="65" w:type="dxa"/>
              <w:bottom w:w="65" w:type="dxa"/>
              <w:end w:w="65" w:type="dxa"/>
            </w:tcMar>
            <w:vAlign w:val="center"/>
          </w:tcPr>
          <w:p>
            <w:pPr>
              <w:spacing w:after="0" w:line="235" w:lineRule="auto"/>
            </w:pPr>
            <w:r>
              <w:rPr>
                <w:sz w:val="15"/>
              </w:rPr>
              <w:t>Within approved thresholds and reasonable in the local context.</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5"/>
              </w:rPr>
              <w:t>Frequency</w:t>
            </w:r>
          </w:p>
        </w:tc>
        <w:tc>
          <w:tcPr>
            <w:tcW w:type="dxa" w:w="7704"/>
            <w:tcMar>
              <w:top w:w="65" w:type="dxa"/>
              <w:start w:w="65" w:type="dxa"/>
              <w:bottom w:w="65" w:type="dxa"/>
              <w:end w:w="65" w:type="dxa"/>
            </w:tcMar>
            <w:vAlign w:val="center"/>
            <w:shd w:fill="F4F7FA"/>
          </w:tcPr>
          <w:p>
            <w:pPr>
              <w:spacing w:after="0" w:line="235" w:lineRule="auto"/>
            </w:pPr>
            <w:r>
              <w:rPr>
                <w:sz w:val="15"/>
              </w:rPr>
              <w:t>Not repeated or accumulated to create influence or bypass limits.</w:t>
            </w:r>
          </w:p>
        </w:tc>
      </w:tr>
      <w:tr>
        <w:trPr>
          <w:cantSplit/>
        </w:trPr>
        <w:tc>
          <w:tcPr>
            <w:tcW w:type="dxa" w:w="2088"/>
            <w:tcMar>
              <w:top w:w="65" w:type="dxa"/>
              <w:start w:w="65" w:type="dxa"/>
              <w:bottom w:w="65" w:type="dxa"/>
              <w:end w:w="65" w:type="dxa"/>
            </w:tcMar>
            <w:vAlign w:val="center"/>
          </w:tcPr>
          <w:p>
            <w:pPr>
              <w:spacing w:after="0" w:line="235" w:lineRule="auto"/>
            </w:pPr>
            <w:r>
              <w:rPr>
                <w:sz w:val="15"/>
              </w:rPr>
              <w:t>Recipient</w:t>
            </w:r>
          </w:p>
        </w:tc>
        <w:tc>
          <w:tcPr>
            <w:tcW w:type="dxa" w:w="7704"/>
            <w:tcMar>
              <w:top w:w="65" w:type="dxa"/>
              <w:start w:w="65" w:type="dxa"/>
              <w:bottom w:w="65" w:type="dxa"/>
              <w:end w:w="65" w:type="dxa"/>
            </w:tcMar>
            <w:vAlign w:val="center"/>
          </w:tcPr>
          <w:p>
            <w:pPr>
              <w:spacing w:after="0" w:line="235" w:lineRule="auto"/>
            </w:pPr>
            <w:r>
              <w:rPr>
                <w:sz w:val="15"/>
              </w:rPr>
              <w:t>Appropriate participant; no prohibited family, guest or unrelated beneficiary.</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5"/>
              </w:rPr>
              <w:t>Form</w:t>
            </w:r>
          </w:p>
        </w:tc>
        <w:tc>
          <w:tcPr>
            <w:tcW w:type="dxa" w:w="7704"/>
            <w:tcMar>
              <w:top w:w="65" w:type="dxa"/>
              <w:start w:w="65" w:type="dxa"/>
              <w:bottom w:w="65" w:type="dxa"/>
              <w:end w:w="65" w:type="dxa"/>
            </w:tcMar>
            <w:vAlign w:val="center"/>
            <w:shd w:fill="F4F7FA"/>
          </w:tcPr>
          <w:p>
            <w:pPr>
              <w:spacing w:after="0" w:line="235" w:lineRule="auto"/>
            </w:pPr>
            <w:r>
              <w:rPr>
                <w:sz w:val="15"/>
              </w:rPr>
              <w:t>No cash or cash equivalent; no concealed reimbursement or personal account.</w:t>
            </w:r>
          </w:p>
        </w:tc>
      </w:tr>
      <w:tr>
        <w:trPr>
          <w:cantSplit/>
        </w:trPr>
        <w:tc>
          <w:tcPr>
            <w:tcW w:type="dxa" w:w="2088"/>
            <w:tcMar>
              <w:top w:w="65" w:type="dxa"/>
              <w:start w:w="65" w:type="dxa"/>
              <w:bottom w:w="65" w:type="dxa"/>
              <w:end w:w="65" w:type="dxa"/>
            </w:tcMar>
            <w:vAlign w:val="center"/>
          </w:tcPr>
          <w:p>
            <w:pPr>
              <w:spacing w:after="0" w:line="235" w:lineRule="auto"/>
            </w:pPr>
            <w:r>
              <w:rPr>
                <w:sz w:val="15"/>
              </w:rPr>
              <w:t>Approval</w:t>
            </w:r>
          </w:p>
        </w:tc>
        <w:tc>
          <w:tcPr>
            <w:tcW w:type="dxa" w:w="7704"/>
            <w:tcMar>
              <w:top w:w="65" w:type="dxa"/>
              <w:start w:w="65" w:type="dxa"/>
              <w:bottom w:w="65" w:type="dxa"/>
              <w:end w:w="65" w:type="dxa"/>
            </w:tcMar>
            <w:vAlign w:val="center"/>
          </w:tcPr>
          <w:p>
            <w:pPr>
              <w:spacing w:after="0" w:line="235" w:lineRule="auto"/>
            </w:pPr>
            <w:r>
              <w:rPr>
                <w:sz w:val="15"/>
              </w:rPr>
              <w:t>Advance written approval where required, with enhanced approval for public officials.</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5"/>
              </w:rPr>
              <w:t>Recording</w:t>
            </w:r>
          </w:p>
        </w:tc>
        <w:tc>
          <w:tcPr>
            <w:tcW w:type="dxa" w:w="7704"/>
            <w:tcMar>
              <w:top w:w="65" w:type="dxa"/>
              <w:start w:w="65" w:type="dxa"/>
              <w:bottom w:w="65" w:type="dxa"/>
              <w:end w:w="65" w:type="dxa"/>
            </w:tcMar>
            <w:vAlign w:val="center"/>
            <w:shd w:fill="F4F7FA"/>
          </w:tcPr>
          <w:p>
            <w:pPr>
              <w:spacing w:after="0" w:line="235" w:lineRule="auto"/>
            </w:pPr>
            <w:r>
              <w:rPr>
                <w:sz w:val="15"/>
              </w:rPr>
              <w:t>Complete entry in the gifts and hospitality register with value, parties and purpose.</w:t>
            </w:r>
          </w:p>
        </w:tc>
      </w:tr>
    </w:tbl>
    <w:p>
      <w:pPr>
        <w:spacing w:after="0"/>
      </w:pPr>
    </w:p>
    <w:p>
      <w:pPr>
        <w:pStyle w:val="Heading2"/>
      </w:pPr>
      <w:r>
        <w:t>Decline or Return</w:t>
      </w:r>
    </w:p>
    <w:p>
      <w:r>
        <w:t>Where an offered benefit is prohibited, decline or return it respectfully. If immediate refusal is impracticable or culturally sensitive, accept only on behalf of the organisation, report it promptly and follow the authorised disposition process.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General threshold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Public-official threshold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Pre-approval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Exception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7 Facilitation Payments and Duress</w:t>
      </w:r>
    </w:p>
    <w:p>
      <w:r>
        <w:t>Facilitation payments are prohibited even where they are customary or small. Employees and associated persons must not create a fund, use personal cash, reimburse a third party or misdescribe an expense to make such a payment.</w:t>
      </w:r>
    </w:p>
    <w:p>
      <w:pPr>
        <w:pStyle w:val="Heading2"/>
      </w:pPr>
      <w:r>
        <w:t>When a Payment Is Requested</w:t>
      </w:r>
    </w:p>
    <w:p>
      <w:pPr>
        <w:pStyle w:val="ListBullet"/>
        <w:spacing w:after="60"/>
        <w:ind w:left="360"/>
      </w:pPr>
      <w:r>
        <w:t>Refuse calmly and explain that organisational policy prohibits unofficial payments.</w:t>
      </w:r>
    </w:p>
    <w:p>
      <w:pPr>
        <w:pStyle w:val="ListBullet"/>
        <w:spacing w:after="60"/>
        <w:ind w:left="360"/>
      </w:pPr>
      <w:r>
        <w:t>Ask for the legal basis, official fee schedule, invoice and receipt.</w:t>
      </w:r>
    </w:p>
    <w:p>
      <w:pPr>
        <w:pStyle w:val="ListBullet"/>
        <w:spacing w:after="60"/>
        <w:ind w:left="360"/>
      </w:pPr>
      <w:r>
        <w:t>Request a supervisor or alternative official channel.</w:t>
      </w:r>
    </w:p>
    <w:p>
      <w:pPr>
        <w:pStyle w:val="ListBullet"/>
        <w:spacing w:after="60"/>
        <w:ind w:left="360"/>
      </w:pPr>
      <w:r>
        <w:t>Contact the designated legal, compliance or security adviser.</w:t>
      </w:r>
    </w:p>
    <w:p>
      <w:pPr>
        <w:pStyle w:val="ListBullet"/>
        <w:spacing w:after="60"/>
        <w:ind w:left="360"/>
      </w:pPr>
      <w:r>
        <w:t>Record the requester, agency, date, amount, circumstances and witnesses.</w:t>
      </w:r>
    </w:p>
    <w:p>
      <w:pPr>
        <w:pStyle w:val="ListBullet"/>
        <w:spacing w:after="60"/>
        <w:ind w:left="360"/>
      </w:pPr>
      <w:r>
        <w:t>Report the request promptly, even if no payment was made.</w:t>
      </w:r>
    </w:p>
    <w:p>
      <w:pPr>
        <w:pStyle w:val="Heading2"/>
      </w:pPr>
      <w:r>
        <w:t>Immediate Threat to Health or Safety</w:t>
      </w:r>
    </w:p>
    <w:p>
      <w:r>
        <w:t>Where a person reasonably believes there is an immediate and credible threat to health or safety and no safe alternative exists, the person should prioritise safety. Any payment made under duress must be reported as soon as safe, recorded accurately and reviewed. This exception does not cover commercial pressure, delay, inconvenience or threatened financial loss.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888"/>
            <w:shd w:fill="17365D"/>
            <w:tcMar>
              <w:top w:w="65" w:type="dxa"/>
              <w:start w:w="65" w:type="dxa"/>
              <w:bottom w:w="65" w:type="dxa"/>
              <w:end w:w="65" w:type="dxa"/>
            </w:tcMar>
            <w:vAlign w:val="center"/>
          </w:tcPr>
          <w:p>
            <w:r>
              <w:rPr>
                <w:b/>
                <w:color w:val="FFFFFF"/>
                <w:sz w:val="15"/>
              </w:rPr>
              <w:t>Required post event record</w:t>
            </w:r>
          </w:p>
        </w:tc>
        <w:tc>
          <w:tcPr>
            <w:tcW w:type="dxa" w:w="5904"/>
            <w:shd w:fill="17365D"/>
            <w:tcMar>
              <w:top w:w="65" w:type="dxa"/>
              <w:start w:w="65" w:type="dxa"/>
              <w:bottom w:w="65" w:type="dxa"/>
              <w:end w:w="65" w:type="dxa"/>
            </w:tcMar>
            <w:vAlign w:val="center"/>
          </w:tcPr>
          <w:p>
            <w:r>
              <w:rPr>
                <w:b/>
                <w:color w:val="FFFFFF"/>
                <w:sz w:val="15"/>
              </w:rPr>
              <w:t>Details</w:t>
            </w:r>
          </w:p>
        </w:tc>
      </w:tr>
      <w:tr>
        <w:trPr>
          <w:cantSplit/>
        </w:trPr>
        <w:tc>
          <w:tcPr>
            <w:tcW w:type="dxa" w:w="3888"/>
            <w:tcMar>
              <w:top w:w="65" w:type="dxa"/>
              <w:start w:w="65" w:type="dxa"/>
              <w:bottom w:w="65" w:type="dxa"/>
              <w:end w:w="65" w:type="dxa"/>
            </w:tcMar>
            <w:vAlign w:val="center"/>
          </w:tcPr>
          <w:p>
            <w:pPr>
              <w:spacing w:after="0" w:line="235" w:lineRule="auto"/>
            </w:pPr>
            <w:r>
              <w:rPr>
                <w:sz w:val="15"/>
              </w:rPr>
              <w:t>Date, time and location</w:t>
            </w:r>
          </w:p>
        </w:tc>
        <w:tc>
          <w:tcPr>
            <w:tcW w:type="dxa" w:w="5904"/>
            <w:tcMar>
              <w:top w:w="65" w:type="dxa"/>
              <w:start w:w="65" w:type="dxa"/>
              <w:bottom w:w="65" w:type="dxa"/>
              <w:end w:w="65" w:type="dxa"/>
            </w:tcMar>
            <w:vAlign w:val="center"/>
          </w:tcPr>
          <w:p>
            <w:pPr>
              <w:spacing w:after="0" w:line="235" w:lineRule="auto"/>
            </w:pPr>
            <w:r>
              <w:rPr>
                <w:sz w:val="15"/>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5"/>
              </w:rPr>
              <w:t>Person or authority making demand</w:t>
            </w:r>
          </w:p>
        </w:tc>
        <w:tc>
          <w:tcPr>
            <w:tcW w:type="dxa" w:w="5904"/>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888"/>
            <w:tcMar>
              <w:top w:w="65" w:type="dxa"/>
              <w:start w:w="65" w:type="dxa"/>
              <w:bottom w:w="65" w:type="dxa"/>
              <w:end w:w="65" w:type="dxa"/>
            </w:tcMar>
            <w:vAlign w:val="center"/>
          </w:tcPr>
          <w:p>
            <w:pPr>
              <w:spacing w:after="0" w:line="235" w:lineRule="auto"/>
            </w:pPr>
            <w:r>
              <w:rPr>
                <w:sz w:val="15"/>
              </w:rPr>
              <w:t>Nature of immediate threat</w:t>
            </w:r>
          </w:p>
        </w:tc>
        <w:tc>
          <w:tcPr>
            <w:tcW w:type="dxa" w:w="5904"/>
            <w:tcMar>
              <w:top w:w="65" w:type="dxa"/>
              <w:start w:w="65" w:type="dxa"/>
              <w:bottom w:w="65" w:type="dxa"/>
              <w:end w:w="65" w:type="dxa"/>
            </w:tcMar>
            <w:vAlign w:val="center"/>
          </w:tcPr>
          <w:p>
            <w:pPr>
              <w:spacing w:after="0" w:line="235" w:lineRule="auto"/>
            </w:pPr>
            <w:r>
              <w:rPr>
                <w:sz w:val="15"/>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5"/>
              </w:rPr>
              <w:t>Amount or benefit provided</w:t>
            </w:r>
          </w:p>
        </w:tc>
        <w:tc>
          <w:tcPr>
            <w:tcW w:type="dxa" w:w="5904"/>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888"/>
            <w:tcMar>
              <w:top w:w="65" w:type="dxa"/>
              <w:start w:w="65" w:type="dxa"/>
              <w:bottom w:w="65" w:type="dxa"/>
              <w:end w:w="65" w:type="dxa"/>
            </w:tcMar>
            <w:vAlign w:val="center"/>
          </w:tcPr>
          <w:p>
            <w:pPr>
              <w:spacing w:after="0" w:line="235" w:lineRule="auto"/>
            </w:pPr>
            <w:r>
              <w:rPr>
                <w:sz w:val="15"/>
              </w:rPr>
              <w:t>Witnesses and supporting evidence</w:t>
            </w:r>
          </w:p>
        </w:tc>
        <w:tc>
          <w:tcPr>
            <w:tcW w:type="dxa" w:w="5904"/>
            <w:tcMar>
              <w:top w:w="65" w:type="dxa"/>
              <w:start w:w="65" w:type="dxa"/>
              <w:bottom w:w="65" w:type="dxa"/>
              <w:end w:w="65" w:type="dxa"/>
            </w:tcMar>
            <w:vAlign w:val="center"/>
          </w:tcPr>
          <w:p>
            <w:pPr>
              <w:spacing w:after="0" w:line="235" w:lineRule="auto"/>
            </w:pPr>
            <w:r>
              <w:rPr>
                <w:sz w:val="15"/>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5"/>
              </w:rPr>
              <w:t>Notification and follow-up action</w:t>
            </w:r>
          </w:p>
        </w:tc>
        <w:tc>
          <w:tcPr>
            <w:tcW w:type="dxa" w:w="5904"/>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8 Charitable Donations Community Investment and Sponsorship</w:t>
      </w:r>
    </w:p>
    <w:p>
      <w:r>
        <w:t>Donations and sponsorships must support legitimate organisational objectives and must not be used to obtain business, influence a decision or benefit an undisclosed official, customer, employee or relative.</w:t>
      </w:r>
    </w:p>
    <w:p>
      <w:pPr>
        <w:pStyle w:val="Heading2"/>
      </w:pPr>
      <w:r>
        <w:t>Minimum Requirements</w:t>
      </w:r>
    </w:p>
    <w:p>
      <w:pPr>
        <w:pStyle w:val="ListBullet"/>
        <w:spacing w:after="60"/>
        <w:ind w:left="360"/>
      </w:pPr>
      <w:r>
        <w:t>Document purpose, beneficiary, amount, selection rationale and expected use.</w:t>
      </w:r>
    </w:p>
    <w:p>
      <w:pPr>
        <w:pStyle w:val="ListBullet"/>
        <w:spacing w:after="60"/>
        <w:ind w:left="360"/>
      </w:pPr>
      <w:r>
        <w:t>Verify the beneficiary’s identity, ownership, reputation, activities and bank account.</w:t>
      </w:r>
    </w:p>
    <w:p>
      <w:pPr>
        <w:pStyle w:val="ListBullet"/>
        <w:spacing w:after="60"/>
        <w:ind w:left="360"/>
      </w:pPr>
      <w:r>
        <w:t>Identify links to public officials, customers, suppliers or decision-makers.</w:t>
      </w:r>
    </w:p>
    <w:p>
      <w:pPr>
        <w:pStyle w:val="ListBullet"/>
        <w:spacing w:after="60"/>
        <w:ind w:left="360"/>
      </w:pPr>
      <w:r>
        <w:t>Confirm that the request did not arise as a condition for an approval, contract or favour.</w:t>
      </w:r>
    </w:p>
    <w:p>
      <w:pPr>
        <w:pStyle w:val="ListBullet"/>
        <w:spacing w:after="60"/>
        <w:ind w:left="360"/>
      </w:pPr>
      <w:r>
        <w:t>Use a written agreement describing permitted use, reporting and repayment rights.</w:t>
      </w:r>
    </w:p>
    <w:p>
      <w:pPr>
        <w:pStyle w:val="ListBullet"/>
        <w:spacing w:after="60"/>
        <w:ind w:left="360"/>
      </w:pPr>
      <w:r>
        <w:t>Pay the verified organisation directly, never an individual or unrelated account.</w:t>
      </w:r>
    </w:p>
    <w:p>
      <w:pPr>
        <w:pStyle w:val="ListBullet"/>
        <w:spacing w:after="60"/>
        <w:ind w:left="360"/>
      </w:pPr>
      <w:r>
        <w:t>Obtain approval under the authority matrix and record the transaction accurately.</w:t>
      </w:r>
    </w:p>
    <w:p>
      <w:pPr>
        <w:pStyle w:val="ListBullet"/>
        <w:spacing w:after="60"/>
        <w:ind w:left="360"/>
      </w:pPr>
      <w:r>
        <w:t>Monitor delivery, obtain evidence of use and investigate inconsistencies.</w:t>
      </w:r>
    </w:p>
    <w:p>
      <w:pPr>
        <w:pStyle w:val="Heading2"/>
      </w:pPr>
      <w:r>
        <w:t>Red Flags</w:t>
      </w:r>
    </w:p>
    <w:p>
      <w:r>
        <w:t>☐ Beneficiary was suggested by a public official during a pending decision.</w:t>
      </w:r>
    </w:p>
    <w:p>
      <w:r>
        <w:t>☐ Organisation has no credible history, premises or governance.</w:t>
      </w:r>
    </w:p>
    <w:p>
      <w:r>
        <w:t>☐ Payment is requested urgently or to a personal or offshore account.</w:t>
      </w:r>
    </w:p>
    <w:p>
      <w:r>
        <w:t>☐ Purpose is vague or unrelated to the beneficiary’s work.</w:t>
      </w:r>
    </w:p>
    <w:p>
      <w:r>
        <w:t>☐ Recipient refuses reporting, audit or transparency terms.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Due diligence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Approval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Register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Monitoring evidence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Exception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9 Political Contributions and Activity</w:t>
      </w:r>
    </w:p>
    <w:p>
      <w:r>
        <w:t>The organisation will not make political contributions unless expressly permitted by law and approved under a separate written process by the governing body. No contribution may be used to influence a specific decision or obtain an improper advantage.</w:t>
      </w:r>
    </w:p>
    <w:p>
      <w:pPr>
        <w:pStyle w:val="Heading2"/>
      </w:pPr>
      <w:r>
        <w:t>Organisational Activity</w:t>
      </w:r>
    </w:p>
    <w:p>
      <w:pPr>
        <w:pStyle w:val="ListBullet"/>
        <w:spacing w:after="60"/>
        <w:ind w:left="360"/>
      </w:pPr>
      <w:r>
        <w:t>Political payments, loans, services, facilities, advertising, fundraising and in-kind support are treated as contributions.</w:t>
      </w:r>
    </w:p>
    <w:p>
      <w:pPr>
        <w:pStyle w:val="ListBullet"/>
        <w:spacing w:after="60"/>
        <w:ind w:left="360"/>
      </w:pPr>
      <w:r>
        <w:t>Approvals must consider law, disclosure, conflicts, sanctions, reputation and stakeholder commitments.</w:t>
      </w:r>
    </w:p>
    <w:p>
      <w:pPr>
        <w:pStyle w:val="ListBullet"/>
        <w:spacing w:after="60"/>
        <w:ind w:left="360"/>
      </w:pPr>
      <w:r>
        <w:t>All authorised contributions must be paid transparently, recorded accurately and publicly disclosed where required.</w:t>
      </w:r>
    </w:p>
    <w:p>
      <w:pPr>
        <w:pStyle w:val="ListBullet"/>
        <w:spacing w:after="60"/>
        <w:ind w:left="360"/>
      </w:pPr>
      <w:r>
        <w:t>The organisation must not reimburse personal political contributions or disguise them as expenses, consultancy, donations or sponsorship.</w:t>
      </w:r>
    </w:p>
    <w:p>
      <w:pPr>
        <w:pStyle w:val="Heading2"/>
      </w:pPr>
      <w:r>
        <w:t>Personal Activity</w:t>
      </w:r>
    </w:p>
    <w:p>
      <w:r>
        <w:t>Employees may participate in lawful political activity in a personal capacity, using their own time and resources. They must not imply organisational endorsement, pressure colleagues or business partners, use confidential information or create an unmanaged conflict of interest.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Are organisational contributions prohibited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Approval body if permitted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Disclosure requirements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Personal conflict declaration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10 Employment Internships and Other Opportunities</w:t>
      </w:r>
    </w:p>
    <w:p>
      <w:r>
        <w:t>Employment, internships, scholarships, training places, secondments and similar opportunities are things of value. They must never be offered or awarded to influence a person or reward improper assistance.</w:t>
      </w:r>
    </w:p>
    <w:p>
      <w:pPr>
        <w:pStyle w:val="Heading2"/>
      </w:pPr>
      <w:r>
        <w:t>Controls</w:t>
      </w:r>
    </w:p>
    <w:p>
      <w:pPr>
        <w:pStyle w:val="ListBullet"/>
        <w:spacing w:after="60"/>
        <w:ind w:left="360"/>
      </w:pPr>
      <w:r>
        <w:t>Use documented merit-based criteria and approved recruitment channels.</w:t>
      </w:r>
    </w:p>
    <w:p>
      <w:pPr>
        <w:pStyle w:val="ListBullet"/>
        <w:spacing w:after="60"/>
        <w:ind w:left="360"/>
      </w:pPr>
      <w:r>
        <w:t>Require disclosure of relationships with public officials, customers, suppliers and decision-makers.</w:t>
      </w:r>
    </w:p>
    <w:p>
      <w:pPr>
        <w:pStyle w:val="ListBullet"/>
        <w:spacing w:after="60"/>
        <w:ind w:left="360"/>
      </w:pPr>
      <w:r>
        <w:t>Apply ordinary screening, interview, conflict and approval requirements.</w:t>
      </w:r>
    </w:p>
    <w:p>
      <w:pPr>
        <w:pStyle w:val="ListBullet"/>
        <w:spacing w:after="60"/>
        <w:ind w:left="360"/>
      </w:pPr>
      <w:r>
        <w:t>Do not create sham, unnecessary or unqualified positions.</w:t>
      </w:r>
    </w:p>
    <w:p>
      <w:pPr>
        <w:pStyle w:val="ListBullet"/>
        <w:spacing w:after="60"/>
        <w:ind w:left="360"/>
      </w:pPr>
      <w:r>
        <w:t>Do not accelerate or guarantee selection in exchange for business or government action.</w:t>
      </w:r>
    </w:p>
    <w:p>
      <w:pPr>
        <w:pStyle w:val="ListBullet"/>
        <w:spacing w:after="60"/>
        <w:ind w:left="360"/>
      </w:pPr>
      <w:r>
        <w:t>Record referrals, selection rationale, conflicts and recusals.</w:t>
      </w:r>
    </w:p>
    <w:p>
      <w:pPr>
        <w:pStyle w:val="ListBullet"/>
        <w:spacing w:after="60"/>
        <w:ind w:left="360"/>
      </w:pPr>
      <w:r>
        <w:t>Escalate requests linked to tenders, licences, inspections, disputes or other decisions.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1728"/>
            <w:shd w:fill="17365D"/>
            <w:tcMar>
              <w:top w:w="65" w:type="dxa"/>
              <w:start w:w="65" w:type="dxa"/>
              <w:bottom w:w="65" w:type="dxa"/>
              <w:end w:w="65" w:type="dxa"/>
            </w:tcMar>
            <w:vAlign w:val="center"/>
          </w:tcPr>
          <w:p>
            <w:r>
              <w:rPr>
                <w:b/>
                <w:color w:val="FFFFFF"/>
                <w:sz w:val="13"/>
              </w:rPr>
              <w:t>Request or candidate</w:t>
            </w:r>
          </w:p>
        </w:tc>
        <w:tc>
          <w:tcPr>
            <w:tcW w:type="dxa" w:w="1728"/>
            <w:shd w:fill="17365D"/>
            <w:tcMar>
              <w:top w:w="65" w:type="dxa"/>
              <w:start w:w="65" w:type="dxa"/>
              <w:bottom w:w="65" w:type="dxa"/>
              <w:end w:w="65" w:type="dxa"/>
            </w:tcMar>
            <w:vAlign w:val="center"/>
          </w:tcPr>
          <w:p>
            <w:r>
              <w:rPr>
                <w:b/>
                <w:color w:val="FFFFFF"/>
                <w:sz w:val="13"/>
              </w:rPr>
              <w:t>Relationship</w:t>
            </w:r>
          </w:p>
        </w:tc>
        <w:tc>
          <w:tcPr>
            <w:tcW w:type="dxa" w:w="2160"/>
            <w:shd w:fill="17365D"/>
            <w:tcMar>
              <w:top w:w="65" w:type="dxa"/>
              <w:start w:w="65" w:type="dxa"/>
              <w:bottom w:w="65" w:type="dxa"/>
              <w:end w:w="65" w:type="dxa"/>
            </w:tcMar>
            <w:vAlign w:val="center"/>
          </w:tcPr>
          <w:p>
            <w:r>
              <w:rPr>
                <w:b/>
                <w:color w:val="FFFFFF"/>
                <w:sz w:val="13"/>
              </w:rPr>
              <w:t>Business or official matter</w:t>
            </w:r>
          </w:p>
        </w:tc>
        <w:tc>
          <w:tcPr>
            <w:tcW w:type="dxa" w:w="1800"/>
            <w:shd w:fill="17365D"/>
            <w:tcMar>
              <w:top w:w="65" w:type="dxa"/>
              <w:start w:w="65" w:type="dxa"/>
              <w:bottom w:w="65" w:type="dxa"/>
              <w:end w:w="65" w:type="dxa"/>
            </w:tcMar>
            <w:vAlign w:val="center"/>
          </w:tcPr>
          <w:p>
            <w:r>
              <w:rPr>
                <w:b/>
                <w:color w:val="FFFFFF"/>
                <w:sz w:val="13"/>
              </w:rPr>
              <w:t>Selection process</w:t>
            </w:r>
          </w:p>
        </w:tc>
        <w:tc>
          <w:tcPr>
            <w:tcW w:type="dxa" w:w="1440"/>
            <w:shd w:fill="17365D"/>
            <w:tcMar>
              <w:top w:w="65" w:type="dxa"/>
              <w:start w:w="65" w:type="dxa"/>
              <w:bottom w:w="65" w:type="dxa"/>
              <w:end w:w="65" w:type="dxa"/>
            </w:tcMar>
            <w:vAlign w:val="center"/>
          </w:tcPr>
          <w:p>
            <w:r>
              <w:rPr>
                <w:b/>
                <w:color w:val="FFFFFF"/>
                <w:sz w:val="13"/>
              </w:rPr>
              <w:t>Conflict safeguard</w:t>
            </w:r>
          </w:p>
        </w:tc>
        <w:tc>
          <w:tcPr>
            <w:tcW w:type="dxa" w:w="936"/>
            <w:shd w:fill="17365D"/>
            <w:tcMar>
              <w:top w:w="65" w:type="dxa"/>
              <w:start w:w="65" w:type="dxa"/>
              <w:bottom w:w="65" w:type="dxa"/>
              <w:end w:w="65" w:type="dxa"/>
            </w:tcMar>
            <w:vAlign w:val="center"/>
          </w:tcPr>
          <w:p>
            <w:r>
              <w:rPr>
                <w:b/>
                <w:color w:val="FFFFFF"/>
                <w:sz w:val="13"/>
              </w:rPr>
              <w:t>Decision</w:t>
            </w:r>
          </w:p>
        </w:tc>
      </w:tr>
      <w:tr>
        <w:trPr>
          <w:cantSplit/>
        </w:trPr>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80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80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93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80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80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93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80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80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93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80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r>
          </w:p>
        </w:tc>
      </w:tr>
    </w:tbl>
    <w:p>
      <w:pPr>
        <w:spacing w:after="0"/>
      </w:pPr>
    </w:p>
    <w:p>
      <w:r>
        <w:br w:type="page"/>
      </w:r>
    </w:p>
    <w:p>
      <w:pPr>
        <w:pStyle w:val="Heading1"/>
      </w:pPr>
      <w:r>
        <w:t>Section 11 Third Party Due Diligence and Engagement</w:t>
      </w:r>
    </w:p>
    <w:p>
      <w:r>
        <w:t>The organisation may be responsible for bribes paid by persons acting for or on its behalf. Third parties must be selected for legitimate capability and commercial need, not for access to improper influence. Due diligence must be proportionate to risk and completed before commitment or payment.</w:t>
      </w:r>
    </w:p>
    <w:p>
      <w:pPr>
        <w:pStyle w:val="Heading2"/>
      </w:pPr>
      <w:r>
        <w:t>Required Review</w:t>
      </w:r>
    </w:p>
    <w:p>
      <w:pPr>
        <w:pStyle w:val="ListBullet"/>
        <w:spacing w:after="60"/>
        <w:ind w:left="360"/>
      </w:pPr>
      <w:r>
        <w:t>Verify legal identity, registration, ownership, controllers and business location.</w:t>
      </w:r>
    </w:p>
    <w:p>
      <w:pPr>
        <w:pStyle w:val="ListBullet"/>
        <w:spacing w:after="60"/>
        <w:ind w:left="360"/>
      </w:pPr>
      <w:r>
        <w:t>Understand services, qualifications, staffing, proposed subcontractors and business rationale.</w:t>
      </w:r>
    </w:p>
    <w:p>
      <w:pPr>
        <w:pStyle w:val="ListBullet"/>
        <w:spacing w:after="60"/>
        <w:ind w:left="360"/>
      </w:pPr>
      <w:r>
        <w:t>Screen sanctions, PEP status, adverse information, litigation and enforcement history.</w:t>
      </w:r>
    </w:p>
    <w:p>
      <w:pPr>
        <w:pStyle w:val="ListBullet"/>
        <w:spacing w:after="60"/>
        <w:ind w:left="360"/>
      </w:pPr>
      <w:r>
        <w:t>Identify government, customer, employee and other conflicts or relationships.</w:t>
      </w:r>
    </w:p>
    <w:p>
      <w:pPr>
        <w:pStyle w:val="ListBullet"/>
        <w:spacing w:after="60"/>
        <w:ind w:left="360"/>
      </w:pPr>
      <w:r>
        <w:t>Assess geography, sector, interaction with officials, compensation and payment method.</w:t>
      </w:r>
    </w:p>
    <w:p>
      <w:pPr>
        <w:pStyle w:val="ListBullet"/>
        <w:spacing w:after="60"/>
        <w:ind w:left="360"/>
      </w:pPr>
      <w:r>
        <w:t>Resolve red flags through evidence, enhanced review, safeguards or rejection.</w:t>
      </w:r>
    </w:p>
    <w:p>
      <w:pPr>
        <w:pStyle w:val="ListBullet"/>
        <w:spacing w:after="60"/>
        <w:ind w:left="360"/>
      </w:pPr>
      <w:r>
        <w:t>Document risk rating, approvals and renewal date.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1584"/>
            <w:shd w:fill="17365D"/>
            <w:tcMar>
              <w:top w:w="65" w:type="dxa"/>
              <w:start w:w="65" w:type="dxa"/>
              <w:bottom w:w="65" w:type="dxa"/>
              <w:end w:w="65" w:type="dxa"/>
            </w:tcMar>
            <w:vAlign w:val="center"/>
          </w:tcPr>
          <w:p>
            <w:r>
              <w:rPr>
                <w:b/>
                <w:color w:val="FFFFFF"/>
                <w:sz w:val="15"/>
              </w:rPr>
              <w:t>Risk level</w:t>
            </w:r>
          </w:p>
        </w:tc>
        <w:tc>
          <w:tcPr>
            <w:tcW w:type="dxa" w:w="8208"/>
            <w:shd w:fill="17365D"/>
            <w:tcMar>
              <w:top w:w="65" w:type="dxa"/>
              <w:start w:w="65" w:type="dxa"/>
              <w:bottom w:w="65" w:type="dxa"/>
              <w:end w:w="65" w:type="dxa"/>
            </w:tcMar>
            <w:vAlign w:val="center"/>
          </w:tcPr>
          <w:p>
            <w:r>
              <w:rPr>
                <w:b/>
                <w:color w:val="FFFFFF"/>
                <w:sz w:val="15"/>
              </w:rPr>
              <w:t>Minimum controls</w:t>
            </w:r>
          </w:p>
        </w:tc>
      </w:tr>
      <w:tr>
        <w:trPr>
          <w:cantSplit/>
        </w:trPr>
        <w:tc>
          <w:tcPr>
            <w:tcW w:type="dxa" w:w="1584"/>
            <w:tcMar>
              <w:top w:w="65" w:type="dxa"/>
              <w:start w:w="65" w:type="dxa"/>
              <w:bottom w:w="65" w:type="dxa"/>
              <w:end w:w="65" w:type="dxa"/>
            </w:tcMar>
            <w:vAlign w:val="center"/>
          </w:tcPr>
          <w:p>
            <w:pPr>
              <w:spacing w:after="0" w:line="235" w:lineRule="auto"/>
            </w:pPr>
            <w:r>
              <w:rPr>
                <w:sz w:val="15"/>
              </w:rPr>
              <w:t>Lower</w:t>
            </w:r>
          </w:p>
        </w:tc>
        <w:tc>
          <w:tcPr>
            <w:tcW w:type="dxa" w:w="8208"/>
            <w:tcMar>
              <w:top w:w="65" w:type="dxa"/>
              <w:start w:w="65" w:type="dxa"/>
              <w:bottom w:w="65" w:type="dxa"/>
              <w:end w:w="65" w:type="dxa"/>
            </w:tcMar>
            <w:vAlign w:val="center"/>
          </w:tcPr>
          <w:p>
            <w:pPr>
              <w:spacing w:after="0" w:line="235" w:lineRule="auto"/>
            </w:pPr>
            <w:r>
              <w:rPr>
                <w:sz w:val="15"/>
              </w:rPr>
              <w:t>Identity, ownership, capability, sanctions screening, contract and periodic review.</w:t>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5"/>
              </w:rPr>
              <w:t>Medium</w:t>
            </w:r>
          </w:p>
        </w:tc>
        <w:tc>
          <w:tcPr>
            <w:tcW w:type="dxa" w:w="8208"/>
            <w:tcMar>
              <w:top w:w="65" w:type="dxa"/>
              <w:start w:w="65" w:type="dxa"/>
              <w:bottom w:w="65" w:type="dxa"/>
              <w:end w:w="65" w:type="dxa"/>
            </w:tcMar>
            <w:vAlign w:val="center"/>
            <w:shd w:fill="F4F7FA"/>
          </w:tcPr>
          <w:p>
            <w:pPr>
              <w:spacing w:after="0" w:line="235" w:lineRule="auto"/>
            </w:pPr>
            <w:r>
              <w:rPr>
                <w:sz w:val="15"/>
              </w:rPr>
              <w:t>Expanded reputation and conflict review, references, compliance terms, training or certification and closer monitoring.</w:t>
            </w:r>
          </w:p>
        </w:tc>
      </w:tr>
      <w:tr>
        <w:trPr>
          <w:cantSplit/>
        </w:trPr>
        <w:tc>
          <w:tcPr>
            <w:tcW w:type="dxa" w:w="1584"/>
            <w:tcMar>
              <w:top w:w="65" w:type="dxa"/>
              <w:start w:w="65" w:type="dxa"/>
              <w:bottom w:w="65" w:type="dxa"/>
              <w:end w:w="65" w:type="dxa"/>
            </w:tcMar>
            <w:vAlign w:val="center"/>
          </w:tcPr>
          <w:p>
            <w:pPr>
              <w:spacing w:after="0" w:line="235" w:lineRule="auto"/>
            </w:pPr>
            <w:r>
              <w:rPr>
                <w:sz w:val="15"/>
              </w:rPr>
              <w:t>High</w:t>
            </w:r>
          </w:p>
        </w:tc>
        <w:tc>
          <w:tcPr>
            <w:tcW w:type="dxa" w:w="8208"/>
            <w:tcMar>
              <w:top w:w="65" w:type="dxa"/>
              <w:start w:w="65" w:type="dxa"/>
              <w:bottom w:w="65" w:type="dxa"/>
              <w:end w:w="65" w:type="dxa"/>
            </w:tcMar>
            <w:vAlign w:val="center"/>
          </w:tcPr>
          <w:p>
            <w:pPr>
              <w:spacing w:after="0" w:line="235" w:lineRule="auto"/>
            </w:pPr>
            <w:r>
              <w:rPr>
                <w:sz w:val="15"/>
              </w:rPr>
              <w:t>Enhanced due diligence, source verification, senior approval, detailed scope and fees, audit rights, transaction monitoring and frequent renewal.</w:t>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5"/>
              </w:rPr>
              <w:t>Unacceptable</w:t>
            </w:r>
          </w:p>
        </w:tc>
        <w:tc>
          <w:tcPr>
            <w:tcW w:type="dxa" w:w="8208"/>
            <w:tcMar>
              <w:top w:w="65" w:type="dxa"/>
              <w:start w:w="65" w:type="dxa"/>
              <w:bottom w:w="65" w:type="dxa"/>
              <w:end w:w="65" w:type="dxa"/>
            </w:tcMar>
            <w:vAlign w:val="center"/>
            <w:shd w:fill="F4F7FA"/>
          </w:tcPr>
          <w:p>
            <w:pPr>
              <w:spacing w:after="0" w:line="235" w:lineRule="auto"/>
            </w:pPr>
            <w:r>
              <w:rPr>
                <w:sz w:val="15"/>
              </w:rPr>
              <w:t>Do not engage or continue where material red flags remain unresolved or the relationship cannot be controlled.</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Due diligence system</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Risk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High-risk approver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Renewal frequency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12 Third Party Contracts Payments and Oversight</w:t>
      </w:r>
    </w:p>
    <w:p>
      <w:r>
        <w:t>A satisfactory onboarding review does not replace ongoing oversight. Contracts and payments must correspond to real, lawful and authorised services.</w:t>
      </w:r>
    </w:p>
    <w:p>
      <w:pPr>
        <w:pStyle w:val="Heading2"/>
      </w:pPr>
      <w:r>
        <w:t>Contract Requirements</w:t>
      </w:r>
    </w:p>
    <w:p>
      <w:pPr>
        <w:pStyle w:val="ListBullet"/>
        <w:spacing w:after="60"/>
        <w:ind w:left="360"/>
      </w:pPr>
      <w:r>
        <w:t>Detailed services, territory, deliverables, compensation and permitted expenses.</w:t>
      </w:r>
    </w:p>
    <w:p>
      <w:pPr>
        <w:pStyle w:val="ListBullet"/>
        <w:spacing w:after="60"/>
        <w:ind w:left="360"/>
      </w:pPr>
      <w:r>
        <w:t>Compliance with anti-bribery laws and this policy or equivalent standards.</w:t>
      </w:r>
    </w:p>
    <w:p>
      <w:pPr>
        <w:pStyle w:val="ListBullet"/>
        <w:spacing w:after="60"/>
        <w:ind w:left="360"/>
      </w:pPr>
      <w:r>
        <w:t>Accurate records, cooperation, information and audit rights.</w:t>
      </w:r>
    </w:p>
    <w:p>
      <w:pPr>
        <w:pStyle w:val="ListBullet"/>
        <w:spacing w:after="60"/>
        <w:ind w:left="360"/>
      </w:pPr>
      <w:r>
        <w:t>Restrictions on subcontracting, public-official interaction and assignment.</w:t>
      </w:r>
    </w:p>
    <w:p>
      <w:pPr>
        <w:pStyle w:val="ListBullet"/>
        <w:spacing w:after="60"/>
        <w:ind w:left="360"/>
      </w:pPr>
      <w:r>
        <w:t>Immediate notification of investigations, ownership changes and relevant red flags.</w:t>
      </w:r>
    </w:p>
    <w:p>
      <w:pPr>
        <w:pStyle w:val="ListBullet"/>
        <w:spacing w:after="60"/>
        <w:ind w:left="360"/>
      </w:pPr>
      <w:r>
        <w:t>Suspension and termination rights for breach or unresolved risk.</w:t>
      </w:r>
    </w:p>
    <w:p>
      <w:pPr>
        <w:pStyle w:val="Heading2"/>
      </w:pPr>
      <w:r>
        <w:t>Payment Controls</w:t>
      </w:r>
    </w:p>
    <w:p>
      <w:pPr>
        <w:pStyle w:val="ListBullet"/>
        <w:spacing w:after="60"/>
        <w:ind w:left="360"/>
      </w:pPr>
      <w:r>
        <w:t>Invoice matches contract, deliverables, rate, approval and verified bank account.</w:t>
      </w:r>
    </w:p>
    <w:p>
      <w:pPr>
        <w:pStyle w:val="ListBullet"/>
        <w:spacing w:after="60"/>
        <w:ind w:left="360"/>
      </w:pPr>
      <w:r>
        <w:t>No cash, anonymous instrument, unrelated beneficiary or unexplained offshore account.</w:t>
      </w:r>
    </w:p>
    <w:p>
      <w:pPr>
        <w:pStyle w:val="ListBullet"/>
        <w:spacing w:after="60"/>
        <w:ind w:left="360"/>
      </w:pPr>
      <w:r>
        <w:t>Commissions and success fees are reasonable and supported by documented value.</w:t>
      </w:r>
    </w:p>
    <w:p>
      <w:pPr>
        <w:pStyle w:val="ListBullet"/>
        <w:spacing w:after="60"/>
        <w:ind w:left="360"/>
      </w:pPr>
      <w:r>
        <w:t>No split invoice, vague description, duplicate charge or unexplained urgency.</w:t>
      </w:r>
    </w:p>
    <w:p>
      <w:pPr>
        <w:pStyle w:val="ListBullet"/>
        <w:spacing w:after="60"/>
        <w:ind w:left="360"/>
      </w:pPr>
      <w:r>
        <w:t>Payments are stopped and escalated when red flags arise.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456"/>
            <w:shd w:fill="17365D"/>
            <w:tcMar>
              <w:top w:w="65" w:type="dxa"/>
              <w:start w:w="65" w:type="dxa"/>
              <w:bottom w:w="65" w:type="dxa"/>
              <w:end w:w="65" w:type="dxa"/>
            </w:tcMar>
            <w:vAlign w:val="center"/>
          </w:tcPr>
          <w:p>
            <w:r>
              <w:rPr>
                <w:b/>
                <w:color w:val="FFFFFF"/>
                <w:sz w:val="15"/>
              </w:rPr>
              <w:t>Ongoing monitoring trigger</w:t>
            </w:r>
          </w:p>
        </w:tc>
        <w:tc>
          <w:tcPr>
            <w:tcW w:type="dxa" w:w="6336"/>
            <w:shd w:fill="17365D"/>
            <w:tcMar>
              <w:top w:w="65" w:type="dxa"/>
              <w:start w:w="65" w:type="dxa"/>
              <w:bottom w:w="65" w:type="dxa"/>
              <w:end w:w="65" w:type="dxa"/>
            </w:tcMar>
            <w:vAlign w:val="center"/>
          </w:tcPr>
          <w:p>
            <w:r>
              <w:rPr>
                <w:b/>
                <w:color w:val="FFFFFF"/>
                <w:sz w:val="15"/>
              </w:rPr>
              <w:t>Required response</w:t>
            </w:r>
          </w:p>
        </w:tc>
      </w:tr>
      <w:tr>
        <w:trPr>
          <w:cantSplit/>
        </w:trPr>
        <w:tc>
          <w:tcPr>
            <w:tcW w:type="dxa" w:w="3456"/>
            <w:tcMar>
              <w:top w:w="65" w:type="dxa"/>
              <w:start w:w="65" w:type="dxa"/>
              <w:bottom w:w="65" w:type="dxa"/>
              <w:end w:w="65" w:type="dxa"/>
            </w:tcMar>
            <w:vAlign w:val="center"/>
          </w:tcPr>
          <w:p>
            <w:pPr>
              <w:spacing w:after="0" w:line="235" w:lineRule="auto"/>
            </w:pPr>
            <w:r>
              <w:rPr>
                <w:sz w:val="15"/>
              </w:rPr>
              <w:t>Ownership, controller or bank change</w:t>
            </w:r>
          </w:p>
        </w:tc>
        <w:tc>
          <w:tcPr>
            <w:tcW w:type="dxa" w:w="6336"/>
            <w:tcMar>
              <w:top w:w="65" w:type="dxa"/>
              <w:start w:w="65" w:type="dxa"/>
              <w:bottom w:w="65" w:type="dxa"/>
              <w:end w:w="65" w:type="dxa"/>
            </w:tcMar>
            <w:vAlign w:val="center"/>
          </w:tcPr>
          <w:p>
            <w:pPr>
              <w:spacing w:after="0" w:line="235" w:lineRule="auto"/>
            </w:pPr>
            <w:r>
              <w:rPr>
                <w:sz w:val="15"/>
              </w:rPr>
              <w:t>Reverify and reassess before payment.</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5"/>
              </w:rPr>
              <w:t>New government interaction</w:t>
            </w:r>
          </w:p>
        </w:tc>
        <w:tc>
          <w:tcPr>
            <w:tcW w:type="dxa" w:w="6336"/>
            <w:tcMar>
              <w:top w:w="65" w:type="dxa"/>
              <w:start w:w="65" w:type="dxa"/>
              <w:bottom w:w="65" w:type="dxa"/>
              <w:end w:w="65" w:type="dxa"/>
            </w:tcMar>
            <w:vAlign w:val="center"/>
            <w:shd w:fill="F4F7FA"/>
          </w:tcPr>
          <w:p>
            <w:pPr>
              <w:spacing w:after="0" w:line="235" w:lineRule="auto"/>
            </w:pPr>
            <w:r>
              <w:rPr>
                <w:sz w:val="15"/>
              </w:rPr>
              <w:t>Review scope, approvals and enhanced controls.</w:t>
            </w:r>
          </w:p>
        </w:tc>
      </w:tr>
      <w:tr>
        <w:trPr>
          <w:cantSplit/>
        </w:trPr>
        <w:tc>
          <w:tcPr>
            <w:tcW w:type="dxa" w:w="3456"/>
            <w:tcMar>
              <w:top w:w="65" w:type="dxa"/>
              <w:start w:w="65" w:type="dxa"/>
              <w:bottom w:w="65" w:type="dxa"/>
              <w:end w:w="65" w:type="dxa"/>
            </w:tcMar>
            <w:vAlign w:val="center"/>
          </w:tcPr>
          <w:p>
            <w:pPr>
              <w:spacing w:after="0" w:line="235" w:lineRule="auto"/>
            </w:pPr>
            <w:r>
              <w:rPr>
                <w:sz w:val="15"/>
              </w:rPr>
              <w:t>Adverse media or investigation</w:t>
            </w:r>
          </w:p>
        </w:tc>
        <w:tc>
          <w:tcPr>
            <w:tcW w:type="dxa" w:w="6336"/>
            <w:tcMar>
              <w:top w:w="65" w:type="dxa"/>
              <w:start w:w="65" w:type="dxa"/>
              <w:bottom w:w="65" w:type="dxa"/>
              <w:end w:w="65" w:type="dxa"/>
            </w:tcMar>
            <w:vAlign w:val="center"/>
          </w:tcPr>
          <w:p>
            <w:pPr>
              <w:spacing w:after="0" w:line="235" w:lineRule="auto"/>
            </w:pPr>
            <w:r>
              <w:rPr>
                <w:sz w:val="15"/>
              </w:rPr>
              <w:t>Escalate, assess suspension and document decision.</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5"/>
              </w:rPr>
              <w:t>Unusual invoice or fee</w:t>
            </w:r>
          </w:p>
        </w:tc>
        <w:tc>
          <w:tcPr>
            <w:tcW w:type="dxa" w:w="6336"/>
            <w:tcMar>
              <w:top w:w="65" w:type="dxa"/>
              <w:start w:w="65" w:type="dxa"/>
              <w:bottom w:w="65" w:type="dxa"/>
              <w:end w:w="65" w:type="dxa"/>
            </w:tcMar>
            <w:vAlign w:val="center"/>
            <w:shd w:fill="F4F7FA"/>
          </w:tcPr>
          <w:p>
            <w:pPr>
              <w:spacing w:after="0" w:line="235" w:lineRule="auto"/>
            </w:pPr>
            <w:r>
              <w:rPr>
                <w:sz w:val="15"/>
              </w:rPr>
              <w:t>Obtain evidence, test reasonableness and withhold if unresolved.</w:t>
            </w:r>
          </w:p>
        </w:tc>
      </w:tr>
      <w:tr>
        <w:trPr>
          <w:cantSplit/>
        </w:trPr>
        <w:tc>
          <w:tcPr>
            <w:tcW w:type="dxa" w:w="3456"/>
            <w:tcMar>
              <w:top w:w="65" w:type="dxa"/>
              <w:start w:w="65" w:type="dxa"/>
              <w:bottom w:w="65" w:type="dxa"/>
              <w:end w:w="65" w:type="dxa"/>
            </w:tcMar>
            <w:vAlign w:val="center"/>
          </w:tcPr>
          <w:p>
            <w:pPr>
              <w:spacing w:after="0" w:line="235" w:lineRule="auto"/>
            </w:pPr>
            <w:r>
              <w:rPr>
                <w:sz w:val="15"/>
              </w:rPr>
              <w:t>Refusal of certification or audit</w:t>
            </w:r>
          </w:p>
        </w:tc>
        <w:tc>
          <w:tcPr>
            <w:tcW w:type="dxa" w:w="6336"/>
            <w:tcMar>
              <w:top w:w="65" w:type="dxa"/>
              <w:start w:w="65" w:type="dxa"/>
              <w:bottom w:w="65" w:type="dxa"/>
              <w:end w:w="65" w:type="dxa"/>
            </w:tcMar>
            <w:vAlign w:val="center"/>
          </w:tcPr>
          <w:p>
            <w:pPr>
              <w:spacing w:after="0" w:line="235" w:lineRule="auto"/>
            </w:pPr>
            <w:r>
              <w:rPr>
                <w:sz w:val="15"/>
              </w:rPr>
              <w:t>Escalate and consider termination.</w:t>
            </w:r>
          </w:p>
        </w:tc>
      </w:tr>
    </w:tbl>
    <w:p>
      <w:pPr>
        <w:spacing w:after="0"/>
      </w:pPr>
    </w:p>
    <w:p>
      <w:r>
        <w:br w:type="page"/>
      </w:r>
    </w:p>
    <w:p>
      <w:pPr>
        <w:pStyle w:val="Heading1"/>
      </w:pPr>
      <w:r>
        <w:t>Section 13 Procurement and Supplier Integrity</w:t>
      </w:r>
    </w:p>
    <w:p>
      <w:r>
        <w:t>Procurement decisions must be fair, documented and free from undisclosed personal influence. Employees must not shape specifications, evaluation or contract management to favour a party in exchange for any benefit.</w:t>
      </w:r>
    </w:p>
    <w:p>
      <w:pPr>
        <w:pStyle w:val="Heading2"/>
      </w:pPr>
      <w:r>
        <w:t>Required Controls</w:t>
      </w:r>
    </w:p>
    <w:p>
      <w:pPr>
        <w:pStyle w:val="ListBullet"/>
        <w:spacing w:after="60"/>
        <w:ind w:left="360"/>
      </w:pPr>
      <w:r>
        <w:t>Use competitive sourcing unless a documented exception is approved.</w:t>
      </w:r>
    </w:p>
    <w:p>
      <w:pPr>
        <w:pStyle w:val="ListBullet"/>
        <w:spacing w:after="60"/>
        <w:ind w:left="360"/>
      </w:pPr>
      <w:r>
        <w:t>Define evaluation criteria before bids are reviewed.</w:t>
      </w:r>
    </w:p>
    <w:p>
      <w:pPr>
        <w:pStyle w:val="ListBullet"/>
        <w:spacing w:after="60"/>
        <w:ind w:left="360"/>
      </w:pPr>
      <w:r>
        <w:t>Require conflict declarations from participants and bidders.</w:t>
      </w:r>
    </w:p>
    <w:p>
      <w:pPr>
        <w:pStyle w:val="ListBullet"/>
        <w:spacing w:after="60"/>
        <w:ind w:left="360"/>
      </w:pPr>
      <w:r>
        <w:t>Separate request, evaluation, approval, receipt and payment where practicable.</w:t>
      </w:r>
    </w:p>
    <w:p>
      <w:pPr>
        <w:pStyle w:val="ListBullet"/>
        <w:spacing w:after="60"/>
        <w:ind w:left="360"/>
      </w:pPr>
      <w:r>
        <w:t>Retain bids, scores, approvals, changes, exceptions and contract records.</w:t>
      </w:r>
    </w:p>
    <w:p>
      <w:pPr>
        <w:pStyle w:val="ListBullet"/>
        <w:spacing w:after="60"/>
        <w:ind w:left="360"/>
      </w:pPr>
      <w:r>
        <w:t>Review single-source awards, repeated winners, bid rotation, unusual urgency and tailored specifications.</w:t>
      </w:r>
    </w:p>
    <w:p>
      <w:pPr>
        <w:pStyle w:val="ListBullet"/>
        <w:spacing w:after="60"/>
        <w:ind w:left="360"/>
      </w:pPr>
      <w:r>
        <w:t>Verify receipt and quality before approval for payment.</w:t>
      </w:r>
    </w:p>
    <w:p>
      <w:pPr>
        <w:pStyle w:val="ListBullet"/>
        <w:spacing w:after="60"/>
        <w:ind w:left="360"/>
      </w:pPr>
      <w:r>
        <w:t>Monitor change orders, price increases, credits, refunds and related parties.</w:t>
      </w:r>
    </w:p>
    <w:p>
      <w:pPr>
        <w:pStyle w:val="Heading2"/>
      </w:pPr>
      <w:r>
        <w:t>Prohibited Conduct</w:t>
      </w:r>
    </w:p>
    <w:p>
      <w:r>
        <w:t>☐ Sharing confidential bid information with a preferred supplier.</w:t>
      </w:r>
    </w:p>
    <w:p>
      <w:r>
        <w:t>☐ Accepting a benefit for awarding or renewing business.</w:t>
      </w:r>
    </w:p>
    <w:p>
      <w:r>
        <w:t>☐ Creating a false emergency to avoid competition.</w:t>
      </w:r>
    </w:p>
    <w:p>
      <w:r>
        <w:t>☐ Dividing purchases to avoid approval thresholds.</w:t>
      </w:r>
    </w:p>
    <w:p>
      <w:r>
        <w:t>☐ Approving invoices for undelivered or inflated goods and services.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Procurement conflict register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Tender exception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Supplier due diligence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Monitoring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14 Sales Marketing Discounts and Incentives</w:t>
      </w:r>
    </w:p>
    <w:p>
      <w:r>
        <w:t>Sales and commercial arrangements must not conceal value intended to influence customers, officials or other decision-makers. Revenue targets and incentive plans must not encourage employees or intermediaries to disregard compliance requirements.</w:t>
      </w:r>
    </w:p>
    <w:p>
      <w:pPr>
        <w:pStyle w:val="Heading2"/>
      </w:pPr>
      <w:r>
        <w:t>Controls</w:t>
      </w:r>
    </w:p>
    <w:p>
      <w:pPr>
        <w:pStyle w:val="ListBullet"/>
        <w:spacing w:after="60"/>
        <w:ind w:left="360"/>
      </w:pPr>
      <w:r>
        <w:t>Document pricing, discount, rebate, credit, commission and free-of-charge item rationale.</w:t>
      </w:r>
    </w:p>
    <w:p>
      <w:pPr>
        <w:pStyle w:val="ListBullet"/>
        <w:spacing w:after="60"/>
        <w:ind w:left="360"/>
      </w:pPr>
      <w:r>
        <w:t>Apply approval thresholds and independent review for unusual terms.</w:t>
      </w:r>
    </w:p>
    <w:p>
      <w:pPr>
        <w:pStyle w:val="ListBullet"/>
        <w:spacing w:after="60"/>
        <w:ind w:left="360"/>
      </w:pPr>
      <w:r>
        <w:t>Confirm the recipient and beneficiary are legitimate contracting parties.</w:t>
      </w:r>
    </w:p>
    <w:p>
      <w:pPr>
        <w:pStyle w:val="ListBullet"/>
        <w:spacing w:after="60"/>
        <w:ind w:left="360"/>
      </w:pPr>
      <w:r>
        <w:t>Link commissions and success fees to defined lawful services and measurable delivery.</w:t>
      </w:r>
    </w:p>
    <w:p>
      <w:pPr>
        <w:pStyle w:val="ListBullet"/>
        <w:spacing w:after="60"/>
        <w:ind w:left="360"/>
      </w:pPr>
      <w:r>
        <w:t>Review side letters, marketing funds, samples, demos, refunds and customer-directed payments.</w:t>
      </w:r>
    </w:p>
    <w:p>
      <w:pPr>
        <w:pStyle w:val="ListBullet"/>
        <w:spacing w:after="60"/>
        <w:ind w:left="360"/>
      </w:pPr>
      <w:r>
        <w:t>Do not record false sales, channel loading, sham services or disguised concessions.</w:t>
      </w:r>
    </w:p>
    <w:p>
      <w:pPr>
        <w:pStyle w:val="ListBullet"/>
        <w:spacing w:after="60"/>
        <w:ind w:left="360"/>
      </w:pPr>
      <w:r>
        <w:t>Monitor high-risk customers, distributors and public-sector opportunities.</w:t>
      </w:r>
    </w:p>
    <w:p>
      <w:pPr>
        <w:pStyle w:val="ListBullet"/>
        <w:spacing w:after="60"/>
        <w:ind w:left="360"/>
      </w:pPr>
      <w:r>
        <w:t>Pause transactions when requests involve personal benefits, unrelated accounts or inaccurate documents.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944"/>
            <w:shd w:fill="17365D"/>
            <w:tcMar>
              <w:top w:w="65" w:type="dxa"/>
              <w:start w:w="65" w:type="dxa"/>
              <w:bottom w:w="65" w:type="dxa"/>
              <w:end w:w="65" w:type="dxa"/>
            </w:tcMar>
            <w:vAlign w:val="center"/>
          </w:tcPr>
          <w:p>
            <w:r>
              <w:rPr>
                <w:b/>
                <w:color w:val="FFFFFF"/>
                <w:sz w:val="13"/>
              </w:rPr>
              <w:t>Commercial arrangement</w:t>
            </w:r>
          </w:p>
        </w:tc>
        <w:tc>
          <w:tcPr>
            <w:tcW w:type="dxa" w:w="2448"/>
            <w:shd w:fill="17365D"/>
            <w:tcMar>
              <w:top w:w="65" w:type="dxa"/>
              <w:start w:w="65" w:type="dxa"/>
              <w:bottom w:w="65" w:type="dxa"/>
              <w:end w:w="65" w:type="dxa"/>
            </w:tcMar>
            <w:vAlign w:val="center"/>
          </w:tcPr>
          <w:p>
            <w:r>
              <w:rPr>
                <w:b/>
                <w:color w:val="FFFFFF"/>
                <w:sz w:val="13"/>
              </w:rPr>
              <w:t>Risk indicator</w:t>
            </w:r>
          </w:p>
        </w:tc>
        <w:tc>
          <w:tcPr>
            <w:tcW w:type="dxa" w:w="1728"/>
            <w:shd w:fill="17365D"/>
            <w:tcMar>
              <w:top w:w="65" w:type="dxa"/>
              <w:start w:w="65" w:type="dxa"/>
              <w:bottom w:w="65" w:type="dxa"/>
              <w:end w:w="65" w:type="dxa"/>
            </w:tcMar>
            <w:vAlign w:val="center"/>
          </w:tcPr>
          <w:p>
            <w:r>
              <w:rPr>
                <w:b/>
                <w:color w:val="FFFFFF"/>
                <w:sz w:val="13"/>
              </w:rPr>
              <w:t>Required approval</w:t>
            </w:r>
          </w:p>
        </w:tc>
        <w:tc>
          <w:tcPr>
            <w:tcW w:type="dxa" w:w="2376"/>
            <w:shd w:fill="17365D"/>
            <w:tcMar>
              <w:top w:w="65" w:type="dxa"/>
              <w:start w:w="65" w:type="dxa"/>
              <w:bottom w:w="65" w:type="dxa"/>
              <w:end w:w="65" w:type="dxa"/>
            </w:tcMar>
            <w:vAlign w:val="center"/>
          </w:tcPr>
          <w:p>
            <w:r>
              <w:rPr>
                <w:b/>
                <w:color w:val="FFFFFF"/>
                <w:sz w:val="13"/>
              </w:rPr>
              <w:t>Evidence</w:t>
            </w:r>
          </w:p>
        </w:tc>
        <w:tc>
          <w:tcPr>
            <w:tcW w:type="dxa" w:w="1296"/>
            <w:shd w:fill="17365D"/>
            <w:tcMar>
              <w:top w:w="65" w:type="dxa"/>
              <w:start w:w="65" w:type="dxa"/>
              <w:bottom w:w="65" w:type="dxa"/>
              <w:end w:w="65" w:type="dxa"/>
            </w:tcMar>
            <w:vAlign w:val="center"/>
          </w:tcPr>
          <w:p>
            <w:r>
              <w:rPr>
                <w:b/>
                <w:color w:val="FFFFFF"/>
                <w:sz w:val="13"/>
              </w:rPr>
              <w:t>Decision</w:t>
            </w:r>
          </w:p>
        </w:tc>
      </w:tr>
      <w:tr>
        <w:trPr>
          <w:cantSplit/>
        </w:trPr>
        <w:tc>
          <w:tcPr>
            <w:tcW w:type="dxa" w:w="1944"/>
            <w:tcMar>
              <w:top w:w="65" w:type="dxa"/>
              <w:start w:w="65" w:type="dxa"/>
              <w:bottom w:w="65" w:type="dxa"/>
              <w:end w:w="65" w:type="dxa"/>
            </w:tcMar>
            <w:vAlign w:val="center"/>
          </w:tcPr>
          <w:p>
            <w:pPr>
              <w:spacing w:after="0" w:line="235" w:lineRule="auto"/>
            </w:pPr>
            <w:r>
              <w:rPr>
                <w:sz w:val="13"/>
              </w:rPr>
            </w:r>
          </w:p>
        </w:tc>
        <w:tc>
          <w:tcPr>
            <w:tcW w:type="dxa" w:w="244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c>
          <w:tcPr>
            <w:tcW w:type="dxa" w:w="1296"/>
            <w:tcMar>
              <w:top w:w="65" w:type="dxa"/>
              <w:start w:w="65" w:type="dxa"/>
              <w:bottom w:w="65" w:type="dxa"/>
              <w:end w:w="65" w:type="dxa"/>
            </w:tcMar>
            <w:vAlign w:val="center"/>
          </w:tcPr>
          <w:p>
            <w:pPr>
              <w:spacing w:after="0" w:line="235" w:lineRule="auto"/>
            </w:pPr>
            <w:r>
              <w:rPr>
                <w:sz w:val="13"/>
              </w:rPr>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r>
          </w:p>
        </w:tc>
        <w:tc>
          <w:tcPr>
            <w:tcW w:type="dxa" w:w="244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c>
          <w:tcPr>
            <w:tcW w:type="dxa" w:w="129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944"/>
            <w:tcMar>
              <w:top w:w="65" w:type="dxa"/>
              <w:start w:w="65" w:type="dxa"/>
              <w:bottom w:w="65" w:type="dxa"/>
              <w:end w:w="65" w:type="dxa"/>
            </w:tcMar>
            <w:vAlign w:val="center"/>
          </w:tcPr>
          <w:p>
            <w:pPr>
              <w:spacing w:after="0" w:line="235" w:lineRule="auto"/>
            </w:pPr>
            <w:r>
              <w:rPr>
                <w:sz w:val="13"/>
              </w:rPr>
            </w:r>
          </w:p>
        </w:tc>
        <w:tc>
          <w:tcPr>
            <w:tcW w:type="dxa" w:w="244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c>
          <w:tcPr>
            <w:tcW w:type="dxa" w:w="1296"/>
            <w:tcMar>
              <w:top w:w="65" w:type="dxa"/>
              <w:start w:w="65" w:type="dxa"/>
              <w:bottom w:w="65" w:type="dxa"/>
              <w:end w:w="65" w:type="dxa"/>
            </w:tcMar>
            <w:vAlign w:val="center"/>
          </w:tcPr>
          <w:p>
            <w:pPr>
              <w:spacing w:after="0" w:line="235" w:lineRule="auto"/>
            </w:pPr>
            <w:r>
              <w:rPr>
                <w:sz w:val="13"/>
              </w:rPr>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r>
          </w:p>
        </w:tc>
        <w:tc>
          <w:tcPr>
            <w:tcW w:type="dxa" w:w="244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c>
          <w:tcPr>
            <w:tcW w:type="dxa" w:w="129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944"/>
            <w:tcMar>
              <w:top w:w="65" w:type="dxa"/>
              <w:start w:w="65" w:type="dxa"/>
              <w:bottom w:w="65" w:type="dxa"/>
              <w:end w:w="65" w:type="dxa"/>
            </w:tcMar>
            <w:vAlign w:val="center"/>
          </w:tcPr>
          <w:p>
            <w:pPr>
              <w:spacing w:after="0" w:line="235" w:lineRule="auto"/>
            </w:pPr>
            <w:r>
              <w:rPr>
                <w:sz w:val="13"/>
              </w:rPr>
            </w:r>
          </w:p>
        </w:tc>
        <w:tc>
          <w:tcPr>
            <w:tcW w:type="dxa" w:w="244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c>
          <w:tcPr>
            <w:tcW w:type="dxa" w:w="1296"/>
            <w:tcMar>
              <w:top w:w="65" w:type="dxa"/>
              <w:start w:w="65" w:type="dxa"/>
              <w:bottom w:w="65" w:type="dxa"/>
              <w:end w:w="65" w:type="dxa"/>
            </w:tcMar>
            <w:vAlign w:val="center"/>
          </w:tcPr>
          <w:p>
            <w:pPr>
              <w:spacing w:after="0" w:line="235" w:lineRule="auto"/>
            </w:pPr>
            <w:r>
              <w:rPr>
                <w:sz w:val="13"/>
              </w:rPr>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r>
          </w:p>
        </w:tc>
        <w:tc>
          <w:tcPr>
            <w:tcW w:type="dxa" w:w="244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c>
          <w:tcPr>
            <w:tcW w:type="dxa" w:w="129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944"/>
            <w:tcMar>
              <w:top w:w="65" w:type="dxa"/>
              <w:start w:w="65" w:type="dxa"/>
              <w:bottom w:w="65" w:type="dxa"/>
              <w:end w:w="65" w:type="dxa"/>
            </w:tcMar>
            <w:vAlign w:val="center"/>
          </w:tcPr>
          <w:p>
            <w:pPr>
              <w:spacing w:after="0" w:line="235" w:lineRule="auto"/>
            </w:pPr>
            <w:r>
              <w:rPr>
                <w:sz w:val="13"/>
              </w:rPr>
            </w:r>
          </w:p>
        </w:tc>
        <w:tc>
          <w:tcPr>
            <w:tcW w:type="dxa" w:w="244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c>
          <w:tcPr>
            <w:tcW w:type="dxa" w:w="1296"/>
            <w:tcMar>
              <w:top w:w="65" w:type="dxa"/>
              <w:start w:w="65" w:type="dxa"/>
              <w:bottom w:w="65" w:type="dxa"/>
              <w:end w:w="65" w:type="dxa"/>
            </w:tcMar>
            <w:vAlign w:val="center"/>
          </w:tcPr>
          <w:p>
            <w:pPr>
              <w:spacing w:after="0" w:line="235" w:lineRule="auto"/>
            </w:pPr>
            <w:r>
              <w:rPr>
                <w:sz w:val="13"/>
              </w:rPr>
            </w:r>
          </w:p>
        </w:tc>
      </w:tr>
    </w:tbl>
    <w:p>
      <w:pPr>
        <w:spacing w:after="0"/>
      </w:pPr>
    </w:p>
    <w:p>
      <w:r>
        <w:br w:type="page"/>
      </w:r>
    </w:p>
    <w:p>
      <w:pPr>
        <w:pStyle w:val="Heading1"/>
      </w:pPr>
      <w:r>
        <w:t>Section 15 Mergers Acquisitions Joint Ventures and Investments</w:t>
      </w:r>
    </w:p>
    <w:p>
      <w:r>
        <w:t>Bribery and corruption risk must be assessed before acquiring, investing in or forming a joint venture, and must be integrated into valuation, contractual protection, governance and post-transaction remediation.</w:t>
      </w:r>
    </w:p>
    <w:p>
      <w:pPr>
        <w:pStyle w:val="Heading2"/>
      </w:pPr>
      <w:r>
        <w:t>Pre Transaction Review</w:t>
      </w:r>
    </w:p>
    <w:p>
      <w:pPr>
        <w:pStyle w:val="ListBullet"/>
        <w:spacing w:after="60"/>
        <w:ind w:left="360"/>
      </w:pPr>
      <w:r>
        <w:t>Business model, jurisdictions, licences, public contracts and government touchpoints.</w:t>
      </w:r>
    </w:p>
    <w:p>
      <w:pPr>
        <w:pStyle w:val="ListBullet"/>
        <w:spacing w:after="60"/>
        <w:ind w:left="360"/>
      </w:pPr>
      <w:r>
        <w:t>Ownership, controllers, key management and beneficial interests.</w:t>
      </w:r>
    </w:p>
    <w:p>
      <w:pPr>
        <w:pStyle w:val="ListBullet"/>
        <w:spacing w:after="60"/>
        <w:ind w:left="360"/>
      </w:pPr>
      <w:r>
        <w:t>Third parties, commissions, donations, gifts, facilitation-payment history and books and records.</w:t>
      </w:r>
    </w:p>
    <w:p>
      <w:pPr>
        <w:pStyle w:val="ListBullet"/>
        <w:spacing w:after="60"/>
        <w:ind w:left="360"/>
      </w:pPr>
      <w:r>
        <w:t>Investigations, whistleblowing cases, audit findings, legal proceedings and remediation.</w:t>
      </w:r>
    </w:p>
    <w:p>
      <w:pPr>
        <w:pStyle w:val="ListBullet"/>
        <w:spacing w:after="60"/>
        <w:ind w:left="360"/>
      </w:pPr>
      <w:r>
        <w:t>Control maturity, culture, training, reporting channels and transaction testing.</w:t>
      </w:r>
    </w:p>
    <w:p>
      <w:pPr>
        <w:pStyle w:val="ListBullet"/>
        <w:spacing w:after="60"/>
        <w:ind w:left="360"/>
      </w:pPr>
      <w:r>
        <w:t>Known liabilities, contractual protections, disclosure and termination rights.</w:t>
      </w:r>
    </w:p>
    <w:p>
      <w:pPr>
        <w:pStyle w:val="Heading2"/>
      </w:pPr>
      <w:r>
        <w:t>Post Transaction Requirements</w:t>
      </w:r>
    </w:p>
    <w:p>
      <w:pPr>
        <w:pStyle w:val="ListBullet"/>
        <w:spacing w:after="60"/>
        <w:ind w:left="360"/>
      </w:pPr>
      <w:r>
        <w:t>Implement appropriate controls and training promptly.</w:t>
      </w:r>
    </w:p>
    <w:p>
      <w:pPr>
        <w:pStyle w:val="ListBullet"/>
        <w:spacing w:after="60"/>
        <w:ind w:left="360"/>
      </w:pPr>
      <w:r>
        <w:t>Secure records and address critical access or payment risks.</w:t>
      </w:r>
    </w:p>
    <w:p>
      <w:pPr>
        <w:pStyle w:val="ListBullet"/>
        <w:spacing w:after="60"/>
        <w:ind w:left="360"/>
      </w:pPr>
      <w:r>
        <w:t>Validate ownership, third parties and high-risk relationships.</w:t>
      </w:r>
    </w:p>
    <w:p>
      <w:pPr>
        <w:pStyle w:val="ListBullet"/>
        <w:spacing w:after="60"/>
        <w:ind w:left="360"/>
      </w:pPr>
      <w:r>
        <w:t>Conduct targeted testing and resolve inherited misconduct.</w:t>
      </w:r>
    </w:p>
    <w:p>
      <w:pPr>
        <w:pStyle w:val="ListBullet"/>
        <w:spacing w:after="60"/>
        <w:ind w:left="360"/>
      </w:pPr>
      <w:r>
        <w:t>Report material discoveries and preserve legal rights.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Transaction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Risk lead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Due diligence conclusion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Conditions precedent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Integration deadline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Post-close review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16 Conflicts of Interest</w:t>
      </w:r>
    </w:p>
    <w:p>
      <w:r>
        <w:t>Actual, potential and perceived conflicts must be disclosed promptly and managed transparently. A conflict does not automatically imply misconduct, but concealment or participation without safeguards may create corruption risk.</w:t>
      </w:r>
    </w:p>
    <w:p>
      <w:pPr>
        <w:pStyle w:val="Heading2"/>
      </w:pPr>
      <w:r>
        <w:t>Examples</w:t>
      </w:r>
    </w:p>
    <w:p>
      <w:pPr>
        <w:pStyle w:val="ListBullet"/>
        <w:spacing w:after="60"/>
        <w:ind w:left="360"/>
      </w:pPr>
      <w:r>
        <w:t>Financial or ownership interest in a supplier, customer, competitor or transaction.</w:t>
      </w:r>
    </w:p>
    <w:p>
      <w:pPr>
        <w:pStyle w:val="ListBullet"/>
        <w:spacing w:after="60"/>
        <w:ind w:left="360"/>
      </w:pPr>
      <w:r>
        <w:t>Family, romantic or close personal relationship with a candidate or decision-maker.</w:t>
      </w:r>
    </w:p>
    <w:p>
      <w:pPr>
        <w:pStyle w:val="ListBullet"/>
        <w:spacing w:after="60"/>
        <w:ind w:left="360"/>
      </w:pPr>
      <w:r>
        <w:t>Outside employment, directorship, consultancy or public office.</w:t>
      </w:r>
    </w:p>
    <w:p>
      <w:pPr>
        <w:pStyle w:val="ListBullet"/>
        <w:spacing w:after="60"/>
        <w:ind w:left="360"/>
      </w:pPr>
      <w:r>
        <w:t>Gifts, debts, favours or benefits affecting independence.</w:t>
      </w:r>
    </w:p>
    <w:p>
      <w:pPr>
        <w:pStyle w:val="ListBullet"/>
        <w:spacing w:after="60"/>
        <w:ind w:left="360"/>
      </w:pPr>
      <w:r>
        <w:t>Use of confidential information or organisational opportunity for personal benefit.</w:t>
      </w:r>
    </w:p>
    <w:p>
      <w:pPr>
        <w:pStyle w:val="ListBullet"/>
        <w:spacing w:after="60"/>
        <w:ind w:left="360"/>
      </w:pPr>
      <w:r>
        <w:t>Influence over recruitment, procurement, grants, donations or approvals involving a related party.</w:t>
      </w:r>
    </w:p>
    <w:p>
      <w:pPr>
        <w:pStyle w:val="Heading2"/>
      </w:pPr>
      <w:r>
        <w:t>Management Measures</w:t>
      </w:r>
    </w:p>
    <w:p>
      <w:pPr>
        <w:pStyle w:val="ListBullet"/>
        <w:spacing w:after="60"/>
        <w:ind w:left="360"/>
      </w:pPr>
      <w:r>
        <w:t>Disclosure and documented assessment.</w:t>
      </w:r>
    </w:p>
    <w:p>
      <w:pPr>
        <w:pStyle w:val="ListBullet"/>
        <w:spacing w:after="60"/>
        <w:ind w:left="360"/>
      </w:pPr>
      <w:r>
        <w:t>Recusal from discussion, evaluation, access and decision.</w:t>
      </w:r>
    </w:p>
    <w:p>
      <w:pPr>
        <w:pStyle w:val="ListBullet"/>
        <w:spacing w:after="60"/>
        <w:ind w:left="360"/>
      </w:pPr>
      <w:r>
        <w:t>Independent review or reassignment of responsibility.</w:t>
      </w:r>
    </w:p>
    <w:p>
      <w:pPr>
        <w:pStyle w:val="ListBullet"/>
        <w:spacing w:after="60"/>
        <w:ind w:left="360"/>
      </w:pPr>
      <w:r>
        <w:t>Divestment, cessation of outside activity or other proportionate restriction.</w:t>
      </w:r>
    </w:p>
    <w:p>
      <w:pPr>
        <w:pStyle w:val="ListBullet"/>
        <w:spacing w:after="60"/>
        <w:ind w:left="360"/>
      </w:pPr>
      <w:r>
        <w:t>Periodic review and update until the conflict ends.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Declaration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Appeal or advice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 frequency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17 Books Records and Internal Controls</w:t>
      </w:r>
    </w:p>
    <w:p>
      <w:r>
        <w:t>All transactions and dispositions of assets must be recorded completely, accurately, timely and in reasonable detail. No undisclosed or unrecorded fund, account, asset, liability or arrangement may be created.</w:t>
      </w:r>
    </w:p>
    <w:p>
      <w:pPr>
        <w:pStyle w:val="Heading2"/>
      </w:pPr>
      <w:r>
        <w:t>Required Standards</w:t>
      </w:r>
    </w:p>
    <w:p>
      <w:pPr>
        <w:pStyle w:val="ListBullet"/>
        <w:spacing w:after="60"/>
        <w:ind w:left="360"/>
      </w:pPr>
      <w:r>
        <w:t>Use correct account, cost centre, description, beneficiary, purpose and supporting document.</w:t>
      </w:r>
    </w:p>
    <w:p>
      <w:pPr>
        <w:pStyle w:val="ListBullet"/>
        <w:spacing w:after="60"/>
        <w:ind w:left="360"/>
      </w:pPr>
      <w:r>
        <w:t>Record gifts, hospitality, donations, sponsorships, commissions and government fees transparently.</w:t>
      </w:r>
    </w:p>
    <w:p>
      <w:pPr>
        <w:pStyle w:val="ListBullet"/>
        <w:spacing w:after="60"/>
        <w:ind w:left="360"/>
      </w:pPr>
      <w:r>
        <w:t>Maintain approval, receipt, contract, invoice and payment evidence.</w:t>
      </w:r>
    </w:p>
    <w:p>
      <w:pPr>
        <w:pStyle w:val="ListBullet"/>
        <w:spacing w:after="60"/>
        <w:ind w:left="360"/>
      </w:pPr>
      <w:r>
        <w:t>Reconcile accounts, review journal entries and investigate unusual adjustments.</w:t>
      </w:r>
    </w:p>
    <w:p>
      <w:pPr>
        <w:pStyle w:val="ListBullet"/>
        <w:spacing w:after="60"/>
        <w:ind w:left="360"/>
      </w:pPr>
      <w:r>
        <w:t>Restrict access and preserve audit trails.</w:t>
      </w:r>
    </w:p>
    <w:p>
      <w:pPr>
        <w:pStyle w:val="ListBullet"/>
        <w:spacing w:after="60"/>
        <w:ind w:left="360"/>
      </w:pPr>
      <w:r>
        <w:t>Retain records for the approved period and suspend disposal when subject to a hold.</w:t>
      </w:r>
    </w:p>
    <w:p>
      <w:pPr>
        <w:pStyle w:val="Heading2"/>
      </w:pPr>
      <w:r>
        <w:t>Prohibited Records Practices</w:t>
      </w:r>
    </w:p>
    <w:p>
      <w:r>
        <w:t>☐ False, vague, incomplete or misleading description.</w:t>
      </w:r>
    </w:p>
    <w:p>
      <w:r>
        <w:t>☐ Sham invoice, contract, purchase order or receipt.</w:t>
      </w:r>
    </w:p>
    <w:p>
      <w:r>
        <w:t>☐ Off-book fund, secret account or undisclosed liability.</w:t>
      </w:r>
    </w:p>
    <w:p>
      <w:r>
        <w:t>☐ Misclassification of a gift, payment, donation or commission.</w:t>
      </w:r>
    </w:p>
    <w:p>
      <w:r>
        <w:t>☐ Backdated or altered approval.</w:t>
      </w:r>
    </w:p>
    <w:p>
      <w:r>
        <w:t>☐ Personal payment or reimbursement intended to bypass controls.</w:t>
      </w:r>
    </w:p>
    <w:p>
      <w:r>
        <w:t>No manager may direct finance personnel or another person to process a payment they know or suspect lacks proper purpose, evidence or approval.</w:t>
      </w:r>
    </w:p>
    <w:p>
      <w:r>
        <w:br w:type="page"/>
      </w:r>
    </w:p>
    <w:p>
      <w:pPr>
        <w:pStyle w:val="Heading1"/>
      </w:pPr>
      <w:r>
        <w:t>Section 18 Cash Expenses and Payment Controls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5"/>
              </w:rPr>
              <w:t>Risk area</w:t>
            </w:r>
          </w:p>
        </w:tc>
        <w:tc>
          <w:tcPr>
            <w:tcW w:type="dxa" w:w="7416"/>
            <w:shd w:fill="17365D"/>
            <w:tcMar>
              <w:top w:w="65" w:type="dxa"/>
              <w:start w:w="65" w:type="dxa"/>
              <w:bottom w:w="65" w:type="dxa"/>
              <w:end w:w="65" w:type="dxa"/>
            </w:tcMar>
            <w:vAlign w:val="center"/>
          </w:tcPr>
          <w:p>
            <w:r>
              <w:rPr>
                <w:b/>
                <w:color w:val="FFFFFF"/>
                <w:sz w:val="15"/>
              </w:rPr>
              <w:t>Minimum control</w:t>
            </w:r>
          </w:p>
        </w:tc>
      </w:tr>
      <w:tr>
        <w:trPr>
          <w:cantSplit/>
        </w:trPr>
        <w:tc>
          <w:tcPr>
            <w:tcW w:type="dxa" w:w="2376"/>
            <w:tcMar>
              <w:top w:w="65" w:type="dxa"/>
              <w:start w:w="65" w:type="dxa"/>
              <w:bottom w:w="65" w:type="dxa"/>
              <w:end w:w="65" w:type="dxa"/>
            </w:tcMar>
            <w:vAlign w:val="center"/>
          </w:tcPr>
          <w:p>
            <w:pPr>
              <w:spacing w:after="0" w:line="235" w:lineRule="auto"/>
            </w:pPr>
            <w:r>
              <w:rPr>
                <w:sz w:val="15"/>
              </w:rPr>
              <w:t>Cash and petty cash</w:t>
            </w:r>
          </w:p>
        </w:tc>
        <w:tc>
          <w:tcPr>
            <w:tcW w:type="dxa" w:w="7416"/>
            <w:tcMar>
              <w:top w:w="65" w:type="dxa"/>
              <w:start w:w="65" w:type="dxa"/>
              <w:bottom w:w="65" w:type="dxa"/>
              <w:end w:w="65" w:type="dxa"/>
            </w:tcMar>
            <w:vAlign w:val="center"/>
          </w:tcPr>
          <w:p>
            <w:pPr>
              <w:spacing w:after="0" w:line="235" w:lineRule="auto"/>
            </w:pPr>
            <w:r>
              <w:rPr>
                <w:sz w:val="15"/>
              </w:rPr>
              <w:t>Restrict use, set limits, require original evidence, independent approval and reconciliation.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5"/>
              </w:rPr>
              <w:t>Employee expenses</w:t>
            </w:r>
          </w:p>
        </w:tc>
        <w:tc>
          <w:tcPr>
            <w:tcW w:type="dxa" w:w="7416"/>
            <w:tcMar>
              <w:top w:w="65" w:type="dxa"/>
              <w:start w:w="65" w:type="dxa"/>
              <w:bottom w:w="65" w:type="dxa"/>
              <w:end w:w="65" w:type="dxa"/>
            </w:tcMar>
            <w:vAlign w:val="center"/>
            <w:shd w:fill="F4F7FA"/>
          </w:tcPr>
          <w:p>
            <w:pPr>
              <w:spacing w:after="0" w:line="235" w:lineRule="auto"/>
            </w:pPr>
            <w:r>
              <w:rPr>
                <w:sz w:val="15"/>
              </w:rPr>
              <w:t>Business purpose, attendees, itemised receipt, correct classification and manager review.</w:t>
            </w:r>
          </w:p>
        </w:tc>
      </w:tr>
      <w:tr>
        <w:trPr>
          <w:cantSplit/>
        </w:trPr>
        <w:tc>
          <w:tcPr>
            <w:tcW w:type="dxa" w:w="2376"/>
            <w:tcMar>
              <w:top w:w="65" w:type="dxa"/>
              <w:start w:w="65" w:type="dxa"/>
              <w:bottom w:w="65" w:type="dxa"/>
              <w:end w:w="65" w:type="dxa"/>
            </w:tcMar>
            <w:vAlign w:val="center"/>
          </w:tcPr>
          <w:p>
            <w:pPr>
              <w:spacing w:after="0" w:line="235" w:lineRule="auto"/>
            </w:pPr>
            <w:r>
              <w:rPr>
                <w:sz w:val="15"/>
              </w:rPr>
              <w:t>Bank detail changes</w:t>
            </w:r>
          </w:p>
        </w:tc>
        <w:tc>
          <w:tcPr>
            <w:tcW w:type="dxa" w:w="7416"/>
            <w:tcMar>
              <w:top w:w="65" w:type="dxa"/>
              <w:start w:w="65" w:type="dxa"/>
              <w:bottom w:w="65" w:type="dxa"/>
              <w:end w:w="65" w:type="dxa"/>
            </w:tcMar>
            <w:vAlign w:val="center"/>
          </w:tcPr>
          <w:p>
            <w:pPr>
              <w:spacing w:after="0" w:line="235" w:lineRule="auto"/>
            </w:pPr>
            <w:r>
              <w:rPr>
                <w:sz w:val="15"/>
              </w:rPr>
              <w:t>Independent verification using a trusted channel before first or changed payment.</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5"/>
              </w:rPr>
              <w:t>Advance payments</w:t>
            </w:r>
          </w:p>
        </w:tc>
        <w:tc>
          <w:tcPr>
            <w:tcW w:type="dxa" w:w="7416"/>
            <w:tcMar>
              <w:top w:w="65" w:type="dxa"/>
              <w:start w:w="65" w:type="dxa"/>
              <w:bottom w:w="65" w:type="dxa"/>
              <w:end w:w="65" w:type="dxa"/>
            </w:tcMar>
            <w:vAlign w:val="center"/>
            <w:shd w:fill="F4F7FA"/>
          </w:tcPr>
          <w:p>
            <w:pPr>
              <w:spacing w:after="0" w:line="235" w:lineRule="auto"/>
            </w:pPr>
            <w:r>
              <w:rPr>
                <w:sz w:val="15"/>
              </w:rPr>
              <w:t>Document necessity, approval, milestones, recovery rights and subsequent reconciliation.</w:t>
            </w:r>
          </w:p>
        </w:tc>
      </w:tr>
      <w:tr>
        <w:trPr>
          <w:cantSplit/>
        </w:trPr>
        <w:tc>
          <w:tcPr>
            <w:tcW w:type="dxa" w:w="2376"/>
            <w:tcMar>
              <w:top w:w="65" w:type="dxa"/>
              <w:start w:w="65" w:type="dxa"/>
              <w:bottom w:w="65" w:type="dxa"/>
              <w:end w:w="65" w:type="dxa"/>
            </w:tcMar>
            <w:vAlign w:val="center"/>
          </w:tcPr>
          <w:p>
            <w:pPr>
              <w:spacing w:after="0" w:line="235" w:lineRule="auto"/>
            </w:pPr>
            <w:r>
              <w:rPr>
                <w:sz w:val="15"/>
              </w:rPr>
              <w:t>Refunds and credits</w:t>
            </w:r>
          </w:p>
        </w:tc>
        <w:tc>
          <w:tcPr>
            <w:tcW w:type="dxa" w:w="7416"/>
            <w:tcMar>
              <w:top w:w="65" w:type="dxa"/>
              <w:start w:w="65" w:type="dxa"/>
              <w:bottom w:w="65" w:type="dxa"/>
              <w:end w:w="65" w:type="dxa"/>
            </w:tcMar>
            <w:vAlign w:val="center"/>
          </w:tcPr>
          <w:p>
            <w:pPr>
              <w:spacing w:after="0" w:line="235" w:lineRule="auto"/>
            </w:pPr>
            <w:r>
              <w:rPr>
                <w:sz w:val="15"/>
              </w:rPr>
              <w:t>Verify original transaction, entitlement, beneficiary and approval.</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5"/>
              </w:rPr>
              <w:t>Manual payments</w:t>
            </w:r>
          </w:p>
        </w:tc>
        <w:tc>
          <w:tcPr>
            <w:tcW w:type="dxa" w:w="7416"/>
            <w:tcMar>
              <w:top w:w="65" w:type="dxa"/>
              <w:start w:w="65" w:type="dxa"/>
              <w:bottom w:w="65" w:type="dxa"/>
              <w:end w:w="65" w:type="dxa"/>
            </w:tcMar>
            <w:vAlign w:val="center"/>
            <w:shd w:fill="F4F7FA"/>
          </w:tcPr>
          <w:p>
            <w:pPr>
              <w:spacing w:after="0" w:line="235" w:lineRule="auto"/>
            </w:pPr>
            <w:r>
              <w:rPr>
                <w:sz w:val="15"/>
              </w:rPr>
              <w:t>Use exceptional approval, audit trail, segregation and post-payment review.</w:t>
            </w:r>
          </w:p>
        </w:tc>
      </w:tr>
      <w:tr>
        <w:trPr>
          <w:cantSplit/>
        </w:trPr>
        <w:tc>
          <w:tcPr>
            <w:tcW w:type="dxa" w:w="2376"/>
            <w:tcMar>
              <w:top w:w="65" w:type="dxa"/>
              <w:start w:w="65" w:type="dxa"/>
              <w:bottom w:w="65" w:type="dxa"/>
              <w:end w:w="65" w:type="dxa"/>
            </w:tcMar>
            <w:vAlign w:val="center"/>
          </w:tcPr>
          <w:p>
            <w:pPr>
              <w:spacing w:after="0" w:line="235" w:lineRule="auto"/>
            </w:pPr>
            <w:r>
              <w:rPr>
                <w:sz w:val="15"/>
              </w:rPr>
              <w:t>High-risk accounts</w:t>
            </w:r>
          </w:p>
        </w:tc>
        <w:tc>
          <w:tcPr>
            <w:tcW w:type="dxa" w:w="7416"/>
            <w:tcMar>
              <w:top w:w="65" w:type="dxa"/>
              <w:start w:w="65" w:type="dxa"/>
              <w:bottom w:w="65" w:type="dxa"/>
              <w:end w:w="65" w:type="dxa"/>
            </w:tcMar>
            <w:vAlign w:val="center"/>
          </w:tcPr>
          <w:p>
            <w:pPr>
              <w:spacing w:after="0" w:line="235" w:lineRule="auto"/>
            </w:pPr>
            <w:r>
              <w:rPr>
                <w:sz w:val="15"/>
              </w:rPr>
              <w:t>Prohibit or escalate personal, unrelated, anonymous or unexplained offshore accounts.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5"/>
              </w:rPr>
              <w:t>Emergency payments</w:t>
            </w:r>
          </w:p>
        </w:tc>
        <w:tc>
          <w:tcPr>
            <w:tcW w:type="dxa" w:w="7416"/>
            <w:tcMar>
              <w:top w:w="65" w:type="dxa"/>
              <w:start w:w="65" w:type="dxa"/>
              <w:bottom w:w="65" w:type="dxa"/>
              <w:end w:w="65" w:type="dxa"/>
            </w:tcMar>
            <w:vAlign w:val="center"/>
            <w:shd w:fill="F4F7FA"/>
          </w:tcPr>
          <w:p>
            <w:pPr>
              <w:spacing w:after="0" w:line="235" w:lineRule="auto"/>
            </w:pPr>
            <w:r>
              <w:rPr>
                <w:sz w:val="15"/>
              </w:rPr>
              <w:t>Document urgency, confirm lawful purpose and complete retrospective review.</w:t>
            </w:r>
          </w:p>
        </w:tc>
      </w:tr>
    </w:tbl>
    <w:p>
      <w:pPr>
        <w:spacing w:after="0"/>
      </w:pPr>
    </w:p>
    <w:p>
      <w:pPr>
        <w:pStyle w:val="Heading2"/>
      </w:pPr>
      <w:r>
        <w:t>Stop Payment Triggers</w:t>
      </w:r>
    </w:p>
    <w:p>
      <w:r>
        <w:t>☐ Missing or inconsistent documents.</w:t>
      </w:r>
    </w:p>
    <w:p>
      <w:r>
        <w:t>☐ Unexplained third-party beneficiary.</w:t>
      </w:r>
    </w:p>
    <w:p>
      <w:r>
        <w:t>☐ Excessive commission or vague service.</w:t>
      </w:r>
    </w:p>
    <w:p>
      <w:r>
        <w:t>☐ Request to conceal purpose or split payment.</w:t>
      </w:r>
    </w:p>
    <w:p>
      <w:r>
        <w:t>☐ Sanctions, PEP, conflict or adverse-information concern.</w:t>
      </w:r>
    </w:p>
    <w:p>
      <w:r>
        <w:t>☐ Refusal to provide ownership or service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Payment escalation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Emergency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Finance monitoring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Record-retention period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19 Training Communication and Certification</w:t>
      </w:r>
    </w:p>
    <w:p>
      <w:r>
        <w:t>Training and communication must be proportionate to role and risk. Completion records alone do not demonstrate effectiveness; the organisation should assess understanding, behaviour and control performance.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2088"/>
            <w:shd w:fill="17365D"/>
            <w:tcMar>
              <w:top w:w="65" w:type="dxa"/>
              <w:start w:w="65" w:type="dxa"/>
              <w:bottom w:w="65" w:type="dxa"/>
              <w:end w:w="65" w:type="dxa"/>
            </w:tcMar>
            <w:vAlign w:val="center"/>
          </w:tcPr>
          <w:p>
            <w:r>
              <w:rPr>
                <w:b/>
                <w:color w:val="FFFFFF"/>
                <w:sz w:val="14"/>
              </w:rPr>
              <w:t>Audience</w:t>
            </w:r>
          </w:p>
        </w:tc>
        <w:tc>
          <w:tcPr>
            <w:tcW w:type="dxa" w:w="5616"/>
            <w:shd w:fill="17365D"/>
            <w:tcMar>
              <w:top w:w="65" w:type="dxa"/>
              <w:start w:w="65" w:type="dxa"/>
              <w:bottom w:w="65" w:type="dxa"/>
              <w:end w:w="65" w:type="dxa"/>
            </w:tcMar>
            <w:vAlign w:val="center"/>
          </w:tcPr>
          <w:p>
            <w:r>
              <w:rPr>
                <w:b/>
                <w:color w:val="FFFFFF"/>
                <w:sz w:val="14"/>
              </w:rPr>
              <w:t>Minimum content</w:t>
            </w:r>
          </w:p>
        </w:tc>
        <w:tc>
          <w:tcPr>
            <w:tcW w:type="dxa" w:w="2088"/>
            <w:shd w:fill="17365D"/>
            <w:tcMar>
              <w:top w:w="65" w:type="dxa"/>
              <w:start w:w="65" w:type="dxa"/>
              <w:bottom w:w="65" w:type="dxa"/>
              <w:end w:w="65" w:type="dxa"/>
            </w:tcMar>
            <w:vAlign w:val="center"/>
          </w:tcPr>
          <w:p>
            <w:r>
              <w:rPr>
                <w:b/>
                <w:color w:val="FFFFFF"/>
                <w:sz w:val="14"/>
              </w:rPr>
              <w:t>Frequency or trigger</w:t>
            </w:r>
          </w:p>
        </w:tc>
      </w:tr>
      <w:tr>
        <w:trPr>
          <w:cantSplit/>
        </w:trPr>
        <w:tc>
          <w:tcPr>
            <w:tcW w:type="dxa" w:w="2088"/>
            <w:tcMar>
              <w:top w:w="65" w:type="dxa"/>
              <w:start w:w="65" w:type="dxa"/>
              <w:bottom w:w="65" w:type="dxa"/>
              <w:end w:w="65" w:type="dxa"/>
            </w:tcMar>
            <w:vAlign w:val="center"/>
          </w:tcPr>
          <w:p>
            <w:pPr>
              <w:spacing w:after="0" w:line="235" w:lineRule="auto"/>
            </w:pPr>
            <w:r>
              <w:rPr>
                <w:sz w:val="14"/>
              </w:rPr>
              <w:t>All personnel</w:t>
            </w:r>
          </w:p>
        </w:tc>
        <w:tc>
          <w:tcPr>
            <w:tcW w:type="dxa" w:w="5616"/>
            <w:tcMar>
              <w:top w:w="65" w:type="dxa"/>
              <w:start w:w="65" w:type="dxa"/>
              <w:bottom w:w="65" w:type="dxa"/>
              <w:end w:w="65" w:type="dxa"/>
            </w:tcMar>
            <w:vAlign w:val="center"/>
          </w:tcPr>
          <w:p>
            <w:pPr>
              <w:spacing w:after="0" w:line="235" w:lineRule="auto"/>
            </w:pPr>
            <w:r>
              <w:rPr>
                <w:sz w:val="14"/>
              </w:rPr>
              <w:t>Policy rules, examples, reporting, non-retaliation and advice routes.</w:t>
            </w:r>
          </w:p>
        </w:tc>
        <w:tc>
          <w:tcPr>
            <w:tcW w:type="dxa" w:w="2088"/>
            <w:tcMar>
              <w:top w:w="65" w:type="dxa"/>
              <w:start w:w="65" w:type="dxa"/>
              <w:bottom w:w="65" w:type="dxa"/>
              <w:end w:w="65" w:type="dxa"/>
            </w:tcMar>
            <w:vAlign w:val="center"/>
          </w:tcPr>
          <w:p>
            <w:pPr>
              <w:spacing w:after="0" w:line="235" w:lineRule="auto"/>
            </w:pPr>
            <w:r>
              <w:rPr>
                <w:sz w:val="14"/>
              </w:rPr>
              <w:t>On joining and periodic refresher.</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Managers</w:t>
            </w:r>
          </w:p>
        </w:tc>
        <w:tc>
          <w:tcPr>
            <w:tcW w:type="dxa" w:w="5616"/>
            <w:tcMar>
              <w:top w:w="65" w:type="dxa"/>
              <w:start w:w="65" w:type="dxa"/>
              <w:bottom w:w="65" w:type="dxa"/>
              <w:end w:w="65" w:type="dxa"/>
            </w:tcMar>
            <w:vAlign w:val="center"/>
            <w:shd w:fill="F4F7FA"/>
          </w:tcPr>
          <w:p>
            <w:pPr>
              <w:spacing w:after="0" w:line="235" w:lineRule="auto"/>
            </w:pPr>
            <w:r>
              <w:rPr>
                <w:sz w:val="14"/>
              </w:rPr>
              <w:t>Leadership responsibility, escalation, retaliation prevention and control enforcement.</w:t>
            </w:r>
          </w:p>
        </w:tc>
        <w:tc>
          <w:tcPr>
            <w:tcW w:type="dxa" w:w="2088"/>
            <w:tcMar>
              <w:top w:w="65" w:type="dxa"/>
              <w:start w:w="65" w:type="dxa"/>
              <w:bottom w:w="65" w:type="dxa"/>
              <w:end w:w="65" w:type="dxa"/>
            </w:tcMar>
            <w:vAlign w:val="center"/>
            <w:shd w:fill="F4F7FA"/>
          </w:tcPr>
          <w:p>
            <w:pPr>
              <w:spacing w:after="0" w:line="235" w:lineRule="auto"/>
            </w:pPr>
            <w:r>
              <w:rPr>
                <w:sz w:val="14"/>
              </w:rPr>
              <w:t>On appointment and periodic refresher.</w:t>
            </w:r>
          </w:p>
        </w:tc>
      </w:tr>
      <w:tr>
        <w:trPr>
          <w:cantSplit/>
        </w:trPr>
        <w:tc>
          <w:tcPr>
            <w:tcW w:type="dxa" w:w="2088"/>
            <w:tcMar>
              <w:top w:w="65" w:type="dxa"/>
              <w:start w:w="65" w:type="dxa"/>
              <w:bottom w:w="65" w:type="dxa"/>
              <w:end w:w="65" w:type="dxa"/>
            </w:tcMar>
            <w:vAlign w:val="center"/>
          </w:tcPr>
          <w:p>
            <w:pPr>
              <w:spacing w:after="0" w:line="235" w:lineRule="auto"/>
            </w:pPr>
            <w:r>
              <w:rPr>
                <w:sz w:val="14"/>
              </w:rPr>
              <w:t>Sales and procurement</w:t>
            </w:r>
          </w:p>
        </w:tc>
        <w:tc>
          <w:tcPr>
            <w:tcW w:type="dxa" w:w="5616"/>
            <w:tcMar>
              <w:top w:w="65" w:type="dxa"/>
              <w:start w:w="65" w:type="dxa"/>
              <w:bottom w:w="65" w:type="dxa"/>
              <w:end w:w="65" w:type="dxa"/>
            </w:tcMar>
            <w:vAlign w:val="center"/>
          </w:tcPr>
          <w:p>
            <w:pPr>
              <w:spacing w:after="0" w:line="235" w:lineRule="auto"/>
            </w:pPr>
            <w:r>
              <w:rPr>
                <w:sz w:val="14"/>
              </w:rPr>
              <w:t>Third parties, public officials, gifts, discounts, commissions and transaction red flags.</w:t>
            </w:r>
          </w:p>
        </w:tc>
        <w:tc>
          <w:tcPr>
            <w:tcW w:type="dxa" w:w="2088"/>
            <w:tcMar>
              <w:top w:w="65" w:type="dxa"/>
              <w:start w:w="65" w:type="dxa"/>
              <w:bottom w:w="65" w:type="dxa"/>
              <w:end w:w="65" w:type="dxa"/>
            </w:tcMar>
            <w:vAlign w:val="center"/>
          </w:tcPr>
          <w:p>
            <w:pPr>
              <w:spacing w:after="0" w:line="235" w:lineRule="auto"/>
            </w:pPr>
            <w:r>
              <w:rPr>
                <w:sz w:val="14"/>
              </w:rPr>
              <w:t>Role assignment and risk-based refresh.</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Finance</w:t>
            </w:r>
          </w:p>
        </w:tc>
        <w:tc>
          <w:tcPr>
            <w:tcW w:type="dxa" w:w="5616"/>
            <w:tcMar>
              <w:top w:w="65" w:type="dxa"/>
              <w:start w:w="65" w:type="dxa"/>
              <w:bottom w:w="65" w:type="dxa"/>
              <w:end w:w="65" w:type="dxa"/>
            </w:tcMar>
            <w:vAlign w:val="center"/>
            <w:shd w:fill="F4F7FA"/>
          </w:tcPr>
          <w:p>
            <w:pPr>
              <w:spacing w:after="0" w:line="235" w:lineRule="auto"/>
            </w:pPr>
            <w:r>
              <w:rPr>
                <w:sz w:val="14"/>
              </w:rPr>
              <w:t>Books and records, payment controls, suspicious requests and stop-payment authority.</w:t>
            </w:r>
          </w:p>
        </w:tc>
        <w:tc>
          <w:tcPr>
            <w:tcW w:type="dxa" w:w="2088"/>
            <w:tcMar>
              <w:top w:w="65" w:type="dxa"/>
              <w:start w:w="65" w:type="dxa"/>
              <w:bottom w:w="65" w:type="dxa"/>
              <w:end w:w="65" w:type="dxa"/>
            </w:tcMar>
            <w:vAlign w:val="center"/>
            <w:shd w:fill="F4F7FA"/>
          </w:tcPr>
          <w:p>
            <w:pPr>
              <w:spacing w:after="0" w:line="235" w:lineRule="auto"/>
            </w:pPr>
            <w:r>
              <w:rPr>
                <w:sz w:val="14"/>
              </w:rPr>
              <w:t>Role assignment and periodic refresh.</w:t>
            </w:r>
          </w:p>
        </w:tc>
      </w:tr>
      <w:tr>
        <w:trPr>
          <w:cantSplit/>
        </w:trPr>
        <w:tc>
          <w:tcPr>
            <w:tcW w:type="dxa" w:w="2088"/>
            <w:tcMar>
              <w:top w:w="65" w:type="dxa"/>
              <w:start w:w="65" w:type="dxa"/>
              <w:bottom w:w="65" w:type="dxa"/>
              <w:end w:w="65" w:type="dxa"/>
            </w:tcMar>
            <w:vAlign w:val="center"/>
          </w:tcPr>
          <w:p>
            <w:pPr>
              <w:spacing w:after="0" w:line="235" w:lineRule="auto"/>
            </w:pPr>
            <w:r>
              <w:rPr>
                <w:sz w:val="14"/>
              </w:rPr>
              <w:t>High-risk third parties</w:t>
            </w:r>
          </w:p>
        </w:tc>
        <w:tc>
          <w:tcPr>
            <w:tcW w:type="dxa" w:w="5616"/>
            <w:tcMar>
              <w:top w:w="65" w:type="dxa"/>
              <w:start w:w="65" w:type="dxa"/>
              <w:bottom w:w="65" w:type="dxa"/>
              <w:end w:w="65" w:type="dxa"/>
            </w:tcMar>
            <w:vAlign w:val="center"/>
          </w:tcPr>
          <w:p>
            <w:pPr>
              <w:spacing w:after="0" w:line="235" w:lineRule="auto"/>
            </w:pPr>
            <w:r>
              <w:rPr>
                <w:sz w:val="14"/>
              </w:rPr>
              <w:t>Contractual duties, prohibited conduct, records and reporting.</w:t>
            </w:r>
          </w:p>
        </w:tc>
        <w:tc>
          <w:tcPr>
            <w:tcW w:type="dxa" w:w="2088"/>
            <w:tcMar>
              <w:top w:w="65" w:type="dxa"/>
              <w:start w:w="65" w:type="dxa"/>
              <w:bottom w:w="65" w:type="dxa"/>
              <w:end w:w="65" w:type="dxa"/>
            </w:tcMar>
            <w:vAlign w:val="center"/>
          </w:tcPr>
          <w:p>
            <w:pPr>
              <w:spacing w:after="0" w:line="235" w:lineRule="auto"/>
            </w:pPr>
            <w:r>
              <w:rPr>
                <w:sz w:val="14"/>
              </w:rPr>
              <w:t>Before work and at renewal or risk change.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Board and executives</w:t>
            </w:r>
          </w:p>
        </w:tc>
        <w:tc>
          <w:tcPr>
            <w:tcW w:type="dxa" w:w="5616"/>
            <w:tcMar>
              <w:top w:w="65" w:type="dxa"/>
              <w:start w:w="65" w:type="dxa"/>
              <w:bottom w:w="65" w:type="dxa"/>
              <w:end w:w="65" w:type="dxa"/>
            </w:tcMar>
            <w:vAlign w:val="center"/>
            <w:shd w:fill="F4F7FA"/>
          </w:tcPr>
          <w:p>
            <w:pPr>
              <w:spacing w:after="0" w:line="235" w:lineRule="auto"/>
            </w:pPr>
            <w:r>
              <w:rPr>
                <w:sz w:val="14"/>
              </w:rPr>
              <w:t>Risk profile, oversight, material cases, programme effectiveness and accountability.</w:t>
            </w:r>
          </w:p>
        </w:tc>
        <w:tc>
          <w:tcPr>
            <w:tcW w:type="dxa" w:w="2088"/>
            <w:tcMar>
              <w:top w:w="65" w:type="dxa"/>
              <w:start w:w="65" w:type="dxa"/>
              <w:bottom w:w="65" w:type="dxa"/>
              <w:end w:w="65" w:type="dxa"/>
            </w:tcMar>
            <w:vAlign w:val="center"/>
            <w:shd w:fill="F4F7FA"/>
          </w:tcPr>
          <w:p>
            <w:pPr>
              <w:spacing w:after="0" w:line="235" w:lineRule="auto"/>
            </w:pPr>
            <w:r>
              <w:rPr>
                <w:sz w:val="14"/>
              </w:rPr>
              <w:t>At induction and periodic update.</w:t>
            </w:r>
          </w:p>
        </w:tc>
      </w:tr>
    </w:tbl>
    <w:p>
      <w:pPr>
        <w:spacing w:after="0"/>
      </w:pPr>
    </w:p>
    <w:p>
      <w:pPr>
        <w:pStyle w:val="Heading2"/>
      </w:pPr>
      <w:r>
        <w:t>Certification</w:t>
      </w:r>
    </w:p>
    <w:p>
      <w:r>
        <w:t>Covered persons may be required to certify that they have read and understood this policy, disclosed relevant conflicts and benefits, completed training and reported known concerns. A false certification is a policy breach.</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Training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Learning system</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standard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Overdue escalation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Certification frequency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20 Seeking Advice Reporting and Speak Up</w:t>
      </w:r>
    </w:p>
    <w:p>
      <w:r>
        <w:t>Anyone who receives a suspicious request, observes a red flag, suspects misconduct or is uncertain about a proposed action must seek advice or report promptly through an authorised channel. Proof is not required. Reports should be honest and based on information reasonably believed to be relevant.</w:t>
      </w:r>
    </w:p>
    <w:p>
      <w:pPr>
        <w:pStyle w:val="Heading2"/>
      </w:pPr>
      <w:r>
        <w:t>Available Channels</w:t>
      </w:r>
    </w:p>
    <w:p>
      <w:pPr>
        <w:pStyle w:val="ListBullet"/>
        <w:spacing w:after="60"/>
        <w:ind w:left="360"/>
      </w:pPr>
      <w:r>
        <w:t>Line manager, unless involved or inappropriate.</w:t>
      </w:r>
    </w:p>
    <w:p>
      <w:pPr>
        <w:pStyle w:val="ListBullet"/>
        <w:spacing w:after="60"/>
        <w:ind w:left="360"/>
      </w:pPr>
      <w:r>
        <w:t>Compliance, legal, ethics, internal audit or designated officer.</w:t>
      </w:r>
    </w:p>
    <w:p>
      <w:pPr>
        <w:pStyle w:val="ListBullet"/>
        <w:spacing w:after="60"/>
        <w:ind w:left="360"/>
      </w:pPr>
      <w:r>
        <w:t>Confidential helpline, web portal, email or other speak-up channel.</w:t>
      </w:r>
    </w:p>
    <w:p>
      <w:pPr>
        <w:pStyle w:val="ListBullet"/>
        <w:spacing w:after="60"/>
        <w:ind w:left="360"/>
      </w:pPr>
      <w:r>
        <w:t>Board or committee route for senior-management or independence concerns.</w:t>
      </w:r>
    </w:p>
    <w:p>
      <w:pPr>
        <w:pStyle w:val="ListBullet"/>
        <w:spacing w:after="60"/>
        <w:ind w:left="360"/>
      </w:pPr>
      <w:r>
        <w:t>Emergency, safeguarding or law-enforcement route where immediate risk requires it.</w:t>
      </w:r>
    </w:p>
    <w:p>
      <w:pPr>
        <w:pStyle w:val="Heading2"/>
      </w:pPr>
      <w:r>
        <w:t>Information to Provide</w:t>
      </w:r>
    </w:p>
    <w:p>
      <w:pPr>
        <w:pStyle w:val="ListBullet"/>
        <w:spacing w:after="60"/>
        <w:ind w:left="360"/>
      </w:pPr>
      <w:r>
        <w:t>Who, what, when, where and how the issue occurred.</w:t>
      </w:r>
    </w:p>
    <w:p>
      <w:pPr>
        <w:pStyle w:val="ListBullet"/>
        <w:spacing w:after="60"/>
        <w:ind w:left="360"/>
      </w:pPr>
      <w:r>
        <w:t>Amounts, transactions, benefits, decisions and people involved.</w:t>
      </w:r>
    </w:p>
    <w:p>
      <w:pPr>
        <w:pStyle w:val="ListBullet"/>
        <w:spacing w:after="60"/>
        <w:ind w:left="360"/>
      </w:pPr>
      <w:r>
        <w:t>Documents, messages, witnesses or systems that may contain evidence.</w:t>
      </w:r>
    </w:p>
    <w:p>
      <w:pPr>
        <w:pStyle w:val="ListBullet"/>
        <w:spacing w:after="60"/>
        <w:ind w:left="360"/>
      </w:pPr>
      <w:r>
        <w:t>Immediate safety, retaliation or evidence-destruction risk.</w:t>
      </w:r>
    </w:p>
    <w:p>
      <w:pPr>
        <w:pStyle w:val="ListBullet"/>
        <w:spacing w:after="60"/>
        <w:ind w:left="360"/>
      </w:pPr>
      <w:r>
        <w:t>Any prior report, response or attempted concealment.</w:t>
      </w:r>
    </w:p>
    <w:p>
      <w:pPr>
        <w:pStyle w:val="Heading2"/>
      </w:pPr>
      <w:r>
        <w:t>Non Retaliation</w:t>
      </w:r>
    </w:p>
    <w:p>
      <w:r>
        <w:t>Retaliation, intimidation, harassment, adverse employment action, contract disadvantage or interference with a reporter or participant is prohibited. Concerns about retaliation must be assessed independently and addressed promptly.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Primary reporting channel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Anonymous channel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Board escalation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21 Responding to Bribery Requests and Red Flags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5"/>
              </w:rPr>
              <w:t>Situation</w:t>
            </w:r>
          </w:p>
        </w:tc>
        <w:tc>
          <w:tcPr>
            <w:tcW w:type="dxa" w:w="6912"/>
            <w:shd w:fill="17365D"/>
            <w:tcMar>
              <w:top w:w="65" w:type="dxa"/>
              <w:start w:w="65" w:type="dxa"/>
              <w:bottom w:w="65" w:type="dxa"/>
              <w:end w:w="65" w:type="dxa"/>
            </w:tcMar>
            <w:vAlign w:val="center"/>
          </w:tcPr>
          <w:p>
            <w:r>
              <w:rPr>
                <w:b/>
                <w:color w:val="FFFFFF"/>
                <w:sz w:val="15"/>
              </w:rPr>
              <w:t>Required immediate response</w:t>
            </w:r>
          </w:p>
        </w:tc>
      </w:tr>
      <w:tr>
        <w:trPr>
          <w:cantSplit/>
        </w:trPr>
        <w:tc>
          <w:tcPr>
            <w:tcW w:type="dxa" w:w="2880"/>
            <w:tcMar>
              <w:top w:w="65" w:type="dxa"/>
              <w:start w:w="65" w:type="dxa"/>
              <w:bottom w:w="65" w:type="dxa"/>
              <w:end w:w="65" w:type="dxa"/>
            </w:tcMar>
            <w:vAlign w:val="center"/>
          </w:tcPr>
          <w:p>
            <w:pPr>
              <w:spacing w:after="0" w:line="235" w:lineRule="auto"/>
            </w:pPr>
            <w:r>
              <w:rPr>
                <w:sz w:val="15"/>
              </w:rPr>
              <w:t>Bribe or kickback offered</w:t>
            </w:r>
          </w:p>
        </w:tc>
        <w:tc>
          <w:tcPr>
            <w:tcW w:type="dxa" w:w="6912"/>
            <w:tcMar>
              <w:top w:w="65" w:type="dxa"/>
              <w:start w:w="65" w:type="dxa"/>
              <w:bottom w:w="65" w:type="dxa"/>
              <w:end w:w="65" w:type="dxa"/>
            </w:tcMar>
            <w:vAlign w:val="center"/>
          </w:tcPr>
          <w:p>
            <w:pPr>
              <w:spacing w:after="0" w:line="235" w:lineRule="auto"/>
            </w:pPr>
            <w:r>
              <w:rPr>
                <w:sz w:val="15"/>
              </w:rPr>
              <w:t>Decline, end or pause the interaction, preserve details and report promptly.</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Bribe requested</w:t>
            </w:r>
          </w:p>
        </w:tc>
        <w:tc>
          <w:tcPr>
            <w:tcW w:type="dxa" w:w="6912"/>
            <w:tcMar>
              <w:top w:w="65" w:type="dxa"/>
              <w:start w:w="65" w:type="dxa"/>
              <w:bottom w:w="65" w:type="dxa"/>
              <w:end w:w="65" w:type="dxa"/>
            </w:tcMar>
            <w:vAlign w:val="center"/>
            <w:shd w:fill="F4F7FA"/>
          </w:tcPr>
          <w:p>
            <w:pPr>
              <w:spacing w:after="0" w:line="235" w:lineRule="auto"/>
            </w:pPr>
            <w:r>
              <w:rPr>
                <w:sz w:val="15"/>
              </w:rPr>
              <w:t>Refuse, request official documentation, avoid confrontation if unsafe and escalate.</w:t>
            </w:r>
          </w:p>
        </w:tc>
      </w:tr>
      <w:tr>
        <w:trPr>
          <w:cantSplit/>
        </w:trPr>
        <w:tc>
          <w:tcPr>
            <w:tcW w:type="dxa" w:w="2880"/>
            <w:tcMar>
              <w:top w:w="65" w:type="dxa"/>
              <w:start w:w="65" w:type="dxa"/>
              <w:bottom w:w="65" w:type="dxa"/>
              <w:end w:w="65" w:type="dxa"/>
            </w:tcMar>
            <w:vAlign w:val="center"/>
          </w:tcPr>
          <w:p>
            <w:pPr>
              <w:spacing w:after="0" w:line="235" w:lineRule="auto"/>
            </w:pPr>
            <w:r>
              <w:rPr>
                <w:sz w:val="15"/>
              </w:rPr>
              <w:t>Suspicious third-party payment</w:t>
            </w:r>
          </w:p>
        </w:tc>
        <w:tc>
          <w:tcPr>
            <w:tcW w:type="dxa" w:w="6912"/>
            <w:tcMar>
              <w:top w:w="65" w:type="dxa"/>
              <w:start w:w="65" w:type="dxa"/>
              <w:bottom w:w="65" w:type="dxa"/>
              <w:end w:w="65" w:type="dxa"/>
            </w:tcMar>
            <w:vAlign w:val="center"/>
          </w:tcPr>
          <w:p>
            <w:pPr>
              <w:spacing w:after="0" w:line="235" w:lineRule="auto"/>
            </w:pPr>
            <w:r>
              <w:rPr>
                <w:sz w:val="15"/>
              </w:rPr>
              <w:t>Stop approval or payment and refer for review.</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Potential facilitation request</w:t>
            </w:r>
          </w:p>
        </w:tc>
        <w:tc>
          <w:tcPr>
            <w:tcW w:type="dxa" w:w="6912"/>
            <w:tcMar>
              <w:top w:w="65" w:type="dxa"/>
              <w:start w:w="65" w:type="dxa"/>
              <w:bottom w:w="65" w:type="dxa"/>
              <w:end w:w="65" w:type="dxa"/>
            </w:tcMar>
            <w:vAlign w:val="center"/>
            <w:shd w:fill="F4F7FA"/>
          </w:tcPr>
          <w:p>
            <w:pPr>
              <w:spacing w:after="0" w:line="235" w:lineRule="auto"/>
            </w:pPr>
            <w:r>
              <w:rPr>
                <w:sz w:val="15"/>
              </w:rPr>
              <w:t>Use official channels, request receipt and follow the refusal and escalation process.</w:t>
            </w:r>
          </w:p>
        </w:tc>
      </w:tr>
      <w:tr>
        <w:trPr>
          <w:cantSplit/>
        </w:trPr>
        <w:tc>
          <w:tcPr>
            <w:tcW w:type="dxa" w:w="2880"/>
            <w:tcMar>
              <w:top w:w="65" w:type="dxa"/>
              <w:start w:w="65" w:type="dxa"/>
              <w:bottom w:w="65" w:type="dxa"/>
              <w:end w:w="65" w:type="dxa"/>
            </w:tcMar>
            <w:vAlign w:val="center"/>
          </w:tcPr>
          <w:p>
            <w:pPr>
              <w:spacing w:after="0" w:line="235" w:lineRule="auto"/>
            </w:pPr>
            <w:r>
              <w:rPr>
                <w:sz w:val="15"/>
              </w:rPr>
              <w:t>Possible evidence destruction</w:t>
            </w:r>
          </w:p>
        </w:tc>
        <w:tc>
          <w:tcPr>
            <w:tcW w:type="dxa" w:w="6912"/>
            <w:tcMar>
              <w:top w:w="65" w:type="dxa"/>
              <w:start w:w="65" w:type="dxa"/>
              <w:bottom w:w="65" w:type="dxa"/>
              <w:end w:w="65" w:type="dxa"/>
            </w:tcMar>
            <w:vAlign w:val="center"/>
          </w:tcPr>
          <w:p>
            <w:pPr>
              <w:spacing w:after="0" w:line="235" w:lineRule="auto"/>
            </w:pPr>
            <w:r>
              <w:rPr>
                <w:sz w:val="15"/>
              </w:rPr>
              <w:t>Do not alert the subject; contact authorised investigation, legal or security personnel.</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Immediate safety threat</w:t>
            </w:r>
          </w:p>
        </w:tc>
        <w:tc>
          <w:tcPr>
            <w:tcW w:type="dxa" w:w="6912"/>
            <w:tcMar>
              <w:top w:w="65" w:type="dxa"/>
              <w:start w:w="65" w:type="dxa"/>
              <w:bottom w:w="65" w:type="dxa"/>
              <w:end w:w="65" w:type="dxa"/>
            </w:tcMar>
            <w:vAlign w:val="center"/>
            <w:shd w:fill="F4F7FA"/>
          </w:tcPr>
          <w:p>
            <w:pPr>
              <w:spacing w:after="0" w:line="235" w:lineRule="auto"/>
            </w:pPr>
            <w:r>
              <w:rPr>
                <w:sz w:val="15"/>
              </w:rPr>
              <w:t>Prioritise safety, contact emergency support and report when safe.</w:t>
            </w:r>
          </w:p>
        </w:tc>
      </w:tr>
      <w:tr>
        <w:trPr>
          <w:cantSplit/>
        </w:trPr>
        <w:tc>
          <w:tcPr>
            <w:tcW w:type="dxa" w:w="2880"/>
            <w:tcMar>
              <w:top w:w="65" w:type="dxa"/>
              <w:start w:w="65" w:type="dxa"/>
              <w:bottom w:w="65" w:type="dxa"/>
              <w:end w:w="65" w:type="dxa"/>
            </w:tcMar>
            <w:vAlign w:val="center"/>
          </w:tcPr>
          <w:p>
            <w:pPr>
              <w:spacing w:after="0" w:line="235" w:lineRule="auto"/>
            </w:pPr>
            <w:r>
              <w:rPr>
                <w:sz w:val="15"/>
              </w:rPr>
              <w:t>Retaliation concern</w:t>
            </w:r>
          </w:p>
        </w:tc>
        <w:tc>
          <w:tcPr>
            <w:tcW w:type="dxa" w:w="6912"/>
            <w:tcMar>
              <w:top w:w="65" w:type="dxa"/>
              <w:start w:w="65" w:type="dxa"/>
              <w:bottom w:w="65" w:type="dxa"/>
              <w:end w:w="65" w:type="dxa"/>
            </w:tcMar>
            <w:vAlign w:val="center"/>
          </w:tcPr>
          <w:p>
            <w:pPr>
              <w:spacing w:after="0" w:line="235" w:lineRule="auto"/>
            </w:pPr>
            <w:r>
              <w:rPr>
                <w:sz w:val="15"/>
              </w:rPr>
              <w:t>Use a safe channel and request protective measures.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Uncertain transaction</w:t>
            </w:r>
          </w:p>
        </w:tc>
        <w:tc>
          <w:tcPr>
            <w:tcW w:type="dxa" w:w="6912"/>
            <w:tcMar>
              <w:top w:w="65" w:type="dxa"/>
              <w:start w:w="65" w:type="dxa"/>
              <w:bottom w:w="65" w:type="dxa"/>
              <w:end w:w="65" w:type="dxa"/>
            </w:tcMar>
            <w:vAlign w:val="center"/>
            <w:shd w:fill="F4F7FA"/>
          </w:tcPr>
          <w:p>
            <w:pPr>
              <w:spacing w:after="0" w:line="235" w:lineRule="auto"/>
            </w:pPr>
            <w:r>
              <w:rPr>
                <w:sz w:val="15"/>
              </w:rPr>
              <w:t>Do not proceed until authorised advice is obtained.</w:t>
            </w:r>
          </w:p>
        </w:tc>
      </w:tr>
    </w:tbl>
    <w:p>
      <w:pPr>
        <w:spacing w:after="0"/>
      </w:pPr>
    </w:p>
    <w:p>
      <w:pPr>
        <w:pStyle w:val="Heading2"/>
      </w:pPr>
      <w:r>
        <w:t>Red Flags</w:t>
      </w:r>
    </w:p>
    <w:p>
      <w:pPr>
        <w:pStyle w:val="ListBullet"/>
        <w:spacing w:after="60"/>
        <w:ind w:left="360"/>
      </w:pPr>
      <w:r>
        <w:t>Unusual secrecy, urgency, cash, split payments or vague services.</w:t>
      </w:r>
    </w:p>
    <w:p>
      <w:pPr>
        <w:pStyle w:val="ListBullet"/>
        <w:spacing w:after="60"/>
        <w:ind w:left="360"/>
      </w:pPr>
      <w:r>
        <w:t>Excessive commission, bonus, discount or success fee.</w:t>
      </w:r>
    </w:p>
    <w:p>
      <w:pPr>
        <w:pStyle w:val="ListBullet"/>
        <w:spacing w:after="60"/>
        <w:ind w:left="360"/>
      </w:pPr>
      <w:r>
        <w:t>Payment to an unrelated, personal, offshore or different-country account.</w:t>
      </w:r>
    </w:p>
    <w:p>
      <w:pPr>
        <w:pStyle w:val="ListBullet"/>
        <w:spacing w:after="60"/>
        <w:ind w:left="360"/>
      </w:pPr>
      <w:r>
        <w:t>Government or customer official recommends a specific intermediary.</w:t>
      </w:r>
    </w:p>
    <w:p>
      <w:pPr>
        <w:pStyle w:val="ListBullet"/>
        <w:spacing w:after="60"/>
        <w:ind w:left="360"/>
      </w:pPr>
      <w:r>
        <w:t>Third party lacks experience, staff, premises or verifiable ownership.</w:t>
      </w:r>
    </w:p>
    <w:p>
      <w:pPr>
        <w:pStyle w:val="ListBullet"/>
        <w:spacing w:after="60"/>
        <w:ind w:left="360"/>
      </w:pPr>
      <w:r>
        <w:t>Refusal of due diligence, contract terms, certification or audit rights.</w:t>
      </w:r>
    </w:p>
    <w:p>
      <w:pPr>
        <w:pStyle w:val="ListBullet"/>
        <w:spacing w:after="60"/>
        <w:ind w:left="360"/>
      </w:pPr>
      <w:r>
        <w:t>False documents, inconsistent invoices or unexplained changes.</w:t>
      </w:r>
    </w:p>
    <w:p>
      <w:pPr>
        <w:pStyle w:val="ListBullet"/>
        <w:spacing w:after="60"/>
        <w:ind w:left="360"/>
      </w:pPr>
      <w:r>
        <w:t>Donation, job, gift or travel request linked to a pending decision.</w:t>
      </w:r>
    </w:p>
    <w:p>
      <w:r>
        <w:br w:type="page"/>
      </w:r>
    </w:p>
    <w:p>
      <w:pPr>
        <w:pStyle w:val="Heading1"/>
      </w:pPr>
      <w:r>
        <w:t>Section 22 Triage Investigation and Cooperation</w:t>
      </w:r>
    </w:p>
    <w:p>
      <w:r>
        <w:t>Credible concerns will be assessed promptly and assigned to authorised personnel who are sufficiently independent and competent. The organisation will protect confidentiality as far as lawful and practicable, preserve evidence and provide fair treatment to reporters, witnesses and subjects.</w:t>
      </w:r>
    </w:p>
    <w:p>
      <w:pPr>
        <w:pStyle w:val="Heading2"/>
      </w:pPr>
      <w:r>
        <w:t>Minimum Process</w:t>
      </w:r>
    </w:p>
    <w:p>
      <w:pPr>
        <w:pStyle w:val="ListBullet"/>
        <w:spacing w:after="60"/>
        <w:ind w:left="360"/>
      </w:pPr>
      <w:r>
        <w:t>Assess immediate safety, safeguarding, retaliation and evidence risks.</w:t>
      </w:r>
    </w:p>
    <w:p>
      <w:pPr>
        <w:pStyle w:val="ListBullet"/>
        <w:spacing w:after="60"/>
        <w:ind w:left="360"/>
      </w:pPr>
      <w:r>
        <w:t>Check conflicts and determine independent case ownership.</w:t>
      </w:r>
    </w:p>
    <w:p>
      <w:pPr>
        <w:pStyle w:val="ListBullet"/>
        <w:spacing w:after="60"/>
        <w:ind w:left="360"/>
      </w:pPr>
      <w:r>
        <w:t>Define allegations, scope, applicable standards and decision authority.</w:t>
      </w:r>
    </w:p>
    <w:p>
      <w:pPr>
        <w:pStyle w:val="ListBullet"/>
        <w:spacing w:after="60"/>
        <w:ind w:left="360"/>
      </w:pPr>
      <w:r>
        <w:t>Preserve relevant electronic, documentary and physical evidence.</w:t>
      </w:r>
    </w:p>
    <w:p>
      <w:pPr>
        <w:pStyle w:val="ListBullet"/>
        <w:spacing w:after="60"/>
        <w:ind w:left="360"/>
      </w:pPr>
      <w:r>
        <w:t>Interview relevant people fairly and consider supporting and contrary evidence.</w:t>
      </w:r>
    </w:p>
    <w:p>
      <w:pPr>
        <w:pStyle w:val="ListBullet"/>
        <w:spacing w:after="60"/>
        <w:ind w:left="360"/>
      </w:pPr>
      <w:r>
        <w:t>Document findings, rationale, limitations and required reporting.</w:t>
      </w:r>
    </w:p>
    <w:p>
      <w:pPr>
        <w:pStyle w:val="ListBullet"/>
        <w:spacing w:after="60"/>
        <w:ind w:left="360"/>
      </w:pPr>
      <w:r>
        <w:t>Protect personal, privileged and confidential information.</w:t>
      </w:r>
    </w:p>
    <w:p>
      <w:pPr>
        <w:pStyle w:val="ListBullet"/>
        <w:spacing w:after="60"/>
        <w:ind w:left="360"/>
      </w:pPr>
      <w:r>
        <w:t>Track remediation, discipline, recovery and control improvement.</w:t>
      </w:r>
    </w:p>
    <w:p>
      <w:pPr>
        <w:pStyle w:val="Heading2"/>
      </w:pPr>
      <w:r>
        <w:t>Cooperation Duty</w:t>
      </w:r>
    </w:p>
    <w:p>
      <w:r>
        <w:t>Covered persons must cooperate honestly, preserve information and comply with lawful confidentiality instructions. They must not lie, destroy or alter evidence, coach witnesses, warn a subject improperly or conduct an unauthorised investigation.</w:t>
      </w:r>
    </w:p>
    <w:p>
      <w:pPr>
        <w:pStyle w:val="Heading2"/>
      </w:pPr>
      <w:r>
        <w:t>Fairness</w:t>
      </w:r>
    </w:p>
    <w:p>
      <w:r>
        <w:t>A report is not proof of wrongdoing. Findings must be based on evidence and the applicable standard. A person accused of misconduct should receive a fair opportunity to respond, subject to lawful restrictions protecting evidence and confidential identities.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Investigation procedure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Senior-person escalation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Evidence repository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23 Disciplinary Remedial and Contractual Consequences</w:t>
      </w:r>
    </w:p>
    <w:p>
      <w:r>
        <w:t>Breaches may result in disciplinary action up to and including dismissal, subject to applicable law and procedure. Third parties may be suspended, audited, required to remediate or terminated. The organisation may also seek recovery, restitution, damages, injunctions or other lawful remedies.</w:t>
      </w:r>
    </w:p>
    <w:p>
      <w:pPr>
        <w:pStyle w:val="Heading2"/>
      </w:pPr>
      <w:r>
        <w:t>Factors in Determining Response</w:t>
      </w:r>
    </w:p>
    <w:p>
      <w:pPr>
        <w:pStyle w:val="ListBullet"/>
        <w:spacing w:after="60"/>
        <w:ind w:left="360"/>
      </w:pPr>
      <w:r>
        <w:t>Nature, intent, duration and value of the conduct.</w:t>
      </w:r>
    </w:p>
    <w:p>
      <w:pPr>
        <w:pStyle w:val="ListBullet"/>
        <w:spacing w:after="60"/>
        <w:ind w:left="360"/>
      </w:pPr>
      <w:r>
        <w:t>Actual and potential harm to people, public resources and the organisation.</w:t>
      </w:r>
    </w:p>
    <w:p>
      <w:pPr>
        <w:pStyle w:val="ListBullet"/>
        <w:spacing w:after="60"/>
        <w:ind w:left="360"/>
      </w:pPr>
      <w:r>
        <w:t>Seniority, authority, knowledge and personal benefit.</w:t>
      </w:r>
    </w:p>
    <w:p>
      <w:pPr>
        <w:pStyle w:val="ListBullet"/>
        <w:spacing w:after="60"/>
        <w:ind w:left="360"/>
      </w:pPr>
      <w:r>
        <w:t>Cooperation, self-reporting, concealment, obstruction or retaliation.</w:t>
      </w:r>
    </w:p>
    <w:p>
      <w:pPr>
        <w:pStyle w:val="ListBullet"/>
        <w:spacing w:after="60"/>
        <w:ind w:left="360"/>
      </w:pPr>
      <w:r>
        <w:t>Prior conduct, training and clarity of the rule.</w:t>
      </w:r>
    </w:p>
    <w:p>
      <w:pPr>
        <w:pStyle w:val="ListBullet"/>
        <w:spacing w:after="60"/>
        <w:ind w:left="360"/>
      </w:pPr>
      <w:r>
        <w:t>Consistency with treatment of comparable cases.</w:t>
      </w:r>
    </w:p>
    <w:p>
      <w:pPr>
        <w:pStyle w:val="ListBullet"/>
        <w:spacing w:after="60"/>
        <w:ind w:left="360"/>
      </w:pPr>
      <w:r>
        <w:t>Legal, regulatory, contractual and reporting obligations.</w:t>
      </w:r>
    </w:p>
    <w:p>
      <w:pPr>
        <w:pStyle w:val="Heading2"/>
      </w:pPr>
      <w:r>
        <w:t>Control Remediation</w:t>
      </w:r>
    </w:p>
    <w:p>
      <w:pPr>
        <w:pStyle w:val="ListBullet"/>
        <w:spacing w:after="60"/>
        <w:ind w:left="360"/>
      </w:pPr>
      <w:r>
        <w:t>Stop or contain the conduct and secure assets or access.</w:t>
      </w:r>
    </w:p>
    <w:p>
      <w:pPr>
        <w:pStyle w:val="ListBullet"/>
        <w:spacing w:after="60"/>
        <w:ind w:left="360"/>
      </w:pPr>
      <w:r>
        <w:t>Correct records and recover funds where lawful.</w:t>
      </w:r>
    </w:p>
    <w:p>
      <w:pPr>
        <w:pStyle w:val="ListBullet"/>
        <w:spacing w:after="60"/>
        <w:ind w:left="360"/>
      </w:pPr>
      <w:r>
        <w:t>Address root causes in governance, incentives, people, systems or controls.</w:t>
      </w:r>
    </w:p>
    <w:p>
      <w:pPr>
        <w:pStyle w:val="ListBullet"/>
        <w:spacing w:after="60"/>
        <w:ind w:left="360"/>
      </w:pPr>
      <w:r>
        <w:t>Reassess related transactions, third parties and business units.</w:t>
      </w:r>
    </w:p>
    <w:p>
      <w:pPr>
        <w:pStyle w:val="ListBullet"/>
        <w:spacing w:after="60"/>
        <w:ind w:left="360"/>
      </w:pPr>
      <w:r>
        <w:t>Test whether corrective actions operate effectively.</w:t>
      </w:r>
    </w:p>
    <w:p>
      <w:pPr>
        <w:pStyle w:val="ListBullet"/>
        <w:spacing w:after="60"/>
        <w:ind w:left="360"/>
      </w:pPr>
      <w:r>
        <w:t>Report material themes to senior management and the governing body.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Disciplinary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Third-party decision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Recovery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Remediation tracker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24 Roles and Responsibilities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Role</w:t>
            </w:r>
          </w:p>
        </w:tc>
        <w:tc>
          <w:tcPr>
            <w:tcW w:type="dxa" w:w="7560"/>
            <w:shd w:fill="17365D"/>
            <w:tcMar>
              <w:top w:w="65" w:type="dxa"/>
              <w:start w:w="65" w:type="dxa"/>
              <w:bottom w:w="65" w:type="dxa"/>
              <w:end w:w="65" w:type="dxa"/>
            </w:tcMar>
            <w:vAlign w:val="center"/>
          </w:tcPr>
          <w:p>
            <w:r>
              <w:rPr>
                <w:b/>
                <w:color w:val="FFFFFF"/>
                <w:sz w:val="14"/>
              </w:rPr>
              <w:t>Responsibilities</w:t>
            </w:r>
          </w:p>
        </w:tc>
      </w:tr>
      <w:tr>
        <w:trPr>
          <w:cantSplit/>
        </w:trPr>
        <w:tc>
          <w:tcPr>
            <w:tcW w:type="dxa" w:w="2232"/>
            <w:tcMar>
              <w:top w:w="65" w:type="dxa"/>
              <w:start w:w="65" w:type="dxa"/>
              <w:bottom w:w="65" w:type="dxa"/>
              <w:end w:w="65" w:type="dxa"/>
            </w:tcMar>
            <w:vAlign w:val="center"/>
          </w:tcPr>
          <w:p>
            <w:pPr>
              <w:spacing w:after="0" w:line="235" w:lineRule="auto"/>
            </w:pPr>
            <w:r>
              <w:rPr>
                <w:sz w:val="14"/>
              </w:rPr>
              <w:t>Board or governing body</w:t>
            </w:r>
          </w:p>
        </w:tc>
        <w:tc>
          <w:tcPr>
            <w:tcW w:type="dxa" w:w="7560"/>
            <w:tcMar>
              <w:top w:w="65" w:type="dxa"/>
              <w:start w:w="65" w:type="dxa"/>
              <w:bottom w:w="65" w:type="dxa"/>
              <w:end w:w="65" w:type="dxa"/>
            </w:tcMar>
            <w:vAlign w:val="center"/>
          </w:tcPr>
          <w:p>
            <w:pPr>
              <w:spacing w:after="0" w:line="235" w:lineRule="auto"/>
            </w:pPr>
            <w:r>
              <w:rPr>
                <w:sz w:val="14"/>
              </w:rPr>
              <w:t>Approve the policy; oversee material risk, significant cases, resources and programme effectiveness; challenge management.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Chief executive and executives</w:t>
            </w:r>
          </w:p>
        </w:tc>
        <w:tc>
          <w:tcPr>
            <w:tcW w:type="dxa" w:w="7560"/>
            <w:tcMar>
              <w:top w:w="65" w:type="dxa"/>
              <w:start w:w="65" w:type="dxa"/>
              <w:bottom w:w="65" w:type="dxa"/>
              <w:end w:w="65" w:type="dxa"/>
            </w:tcMar>
            <w:vAlign w:val="center"/>
            <w:shd w:fill="F4F7FA"/>
          </w:tcPr>
          <w:p>
            <w:pPr>
              <w:spacing w:after="0" w:line="235" w:lineRule="auto"/>
            </w:pPr>
            <w:r>
              <w:rPr>
                <w:sz w:val="14"/>
              </w:rPr>
              <w:t>Set expectations, provide resources, enforce the policy, address incentives and ensure accountability.</w:t>
            </w:r>
          </w:p>
        </w:tc>
      </w:tr>
      <w:tr>
        <w:trPr>
          <w:cantSplit/>
        </w:trPr>
        <w:tc>
          <w:tcPr>
            <w:tcW w:type="dxa" w:w="2232"/>
            <w:tcMar>
              <w:top w:w="65" w:type="dxa"/>
              <w:start w:w="65" w:type="dxa"/>
              <w:bottom w:w="65" w:type="dxa"/>
              <w:end w:w="65" w:type="dxa"/>
            </w:tcMar>
            <w:vAlign w:val="center"/>
          </w:tcPr>
          <w:p>
            <w:pPr>
              <w:spacing w:after="0" w:line="235" w:lineRule="auto"/>
            </w:pPr>
            <w:r>
              <w:rPr>
                <w:sz w:val="14"/>
              </w:rPr>
              <w:t>Compliance or ethics</w:t>
            </w:r>
          </w:p>
        </w:tc>
        <w:tc>
          <w:tcPr>
            <w:tcW w:type="dxa" w:w="7560"/>
            <w:tcMar>
              <w:top w:w="65" w:type="dxa"/>
              <w:start w:w="65" w:type="dxa"/>
              <w:bottom w:w="65" w:type="dxa"/>
              <w:end w:w="65" w:type="dxa"/>
            </w:tcMar>
            <w:vAlign w:val="center"/>
          </w:tcPr>
          <w:p>
            <w:pPr>
              <w:spacing w:after="0" w:line="235" w:lineRule="auto"/>
            </w:pPr>
            <w:r>
              <w:rPr>
                <w:sz w:val="14"/>
              </w:rPr>
              <w:t>Own the framework, advise, assess risk, train, monitor, report and coordinate escalation.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Legal</w:t>
            </w:r>
          </w:p>
        </w:tc>
        <w:tc>
          <w:tcPr>
            <w:tcW w:type="dxa" w:w="7560"/>
            <w:tcMar>
              <w:top w:w="65" w:type="dxa"/>
              <w:start w:w="65" w:type="dxa"/>
              <w:bottom w:w="65" w:type="dxa"/>
              <w:end w:w="65" w:type="dxa"/>
            </w:tcMar>
            <w:vAlign w:val="center"/>
            <w:shd w:fill="F4F7FA"/>
          </w:tcPr>
          <w:p>
            <w:pPr>
              <w:spacing w:after="0" w:line="235" w:lineRule="auto"/>
            </w:pPr>
            <w:r>
              <w:rPr>
                <w:sz w:val="14"/>
              </w:rPr>
              <w:t>Advise on law, privilege, investigations, contracts, reporting and enforcement exposure.</w:t>
            </w:r>
          </w:p>
        </w:tc>
      </w:tr>
      <w:tr>
        <w:trPr>
          <w:cantSplit/>
        </w:trPr>
        <w:tc>
          <w:tcPr>
            <w:tcW w:type="dxa" w:w="2232"/>
            <w:tcMar>
              <w:top w:w="65" w:type="dxa"/>
              <w:start w:w="65" w:type="dxa"/>
              <w:bottom w:w="65" w:type="dxa"/>
              <w:end w:w="65" w:type="dxa"/>
            </w:tcMar>
            <w:vAlign w:val="center"/>
          </w:tcPr>
          <w:p>
            <w:pPr>
              <w:spacing w:after="0" w:line="235" w:lineRule="auto"/>
            </w:pPr>
            <w:r>
              <w:rPr>
                <w:sz w:val="14"/>
              </w:rPr>
              <w:t>Finance</w:t>
            </w:r>
          </w:p>
        </w:tc>
        <w:tc>
          <w:tcPr>
            <w:tcW w:type="dxa" w:w="7560"/>
            <w:tcMar>
              <w:top w:w="65" w:type="dxa"/>
              <w:start w:w="65" w:type="dxa"/>
              <w:bottom w:w="65" w:type="dxa"/>
              <w:end w:w="65" w:type="dxa"/>
            </w:tcMar>
            <w:vAlign w:val="center"/>
          </w:tcPr>
          <w:p>
            <w:pPr>
              <w:spacing w:after="0" w:line="235" w:lineRule="auto"/>
            </w:pPr>
            <w:r>
              <w:rPr>
                <w:sz w:val="14"/>
              </w:rPr>
              <w:t>Maintain accurate books, payment controls, reconciliations, monitoring and stop-payment escalation.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Human resources</w:t>
            </w:r>
          </w:p>
        </w:tc>
        <w:tc>
          <w:tcPr>
            <w:tcW w:type="dxa" w:w="7560"/>
            <w:tcMar>
              <w:top w:w="65" w:type="dxa"/>
              <w:start w:w="65" w:type="dxa"/>
              <w:bottom w:w="65" w:type="dxa"/>
              <w:end w:w="65" w:type="dxa"/>
            </w:tcMar>
            <w:vAlign w:val="center"/>
            <w:shd w:fill="F4F7FA"/>
          </w:tcPr>
          <w:p>
            <w:pPr>
              <w:spacing w:after="0" w:line="235" w:lineRule="auto"/>
            </w:pPr>
            <w:r>
              <w:rPr>
                <w:sz w:val="14"/>
              </w:rPr>
              <w:t>Integrate screening, training, declarations, discipline, protection and non-retaliation measures.</w:t>
            </w:r>
          </w:p>
        </w:tc>
      </w:tr>
      <w:tr>
        <w:trPr>
          <w:cantSplit/>
        </w:trPr>
        <w:tc>
          <w:tcPr>
            <w:tcW w:type="dxa" w:w="2232"/>
            <w:tcMar>
              <w:top w:w="65" w:type="dxa"/>
              <w:start w:w="65" w:type="dxa"/>
              <w:bottom w:w="65" w:type="dxa"/>
              <w:end w:w="65" w:type="dxa"/>
            </w:tcMar>
            <w:vAlign w:val="center"/>
          </w:tcPr>
          <w:p>
            <w:pPr>
              <w:spacing w:after="0" w:line="235" w:lineRule="auto"/>
            </w:pPr>
            <w:r>
              <w:rPr>
                <w:sz w:val="14"/>
              </w:rPr>
              <w:t>Procurement and sales</w:t>
            </w:r>
          </w:p>
        </w:tc>
        <w:tc>
          <w:tcPr>
            <w:tcW w:type="dxa" w:w="7560"/>
            <w:tcMar>
              <w:top w:w="65" w:type="dxa"/>
              <w:start w:w="65" w:type="dxa"/>
              <w:bottom w:w="65" w:type="dxa"/>
              <w:end w:w="65" w:type="dxa"/>
            </w:tcMar>
            <w:vAlign w:val="center"/>
          </w:tcPr>
          <w:p>
            <w:pPr>
              <w:spacing w:after="0" w:line="235" w:lineRule="auto"/>
            </w:pPr>
            <w:r>
              <w:rPr>
                <w:sz w:val="14"/>
              </w:rPr>
              <w:t>Apply due diligence, conflicts, approvals, contracting, transaction and recordkeeping controls.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Internal audit</w:t>
            </w:r>
          </w:p>
        </w:tc>
        <w:tc>
          <w:tcPr>
            <w:tcW w:type="dxa" w:w="7560"/>
            <w:tcMar>
              <w:top w:w="65" w:type="dxa"/>
              <w:start w:w="65" w:type="dxa"/>
              <w:bottom w:w="65" w:type="dxa"/>
              <w:end w:w="65" w:type="dxa"/>
            </w:tcMar>
            <w:vAlign w:val="center"/>
            <w:shd w:fill="F4F7FA"/>
          </w:tcPr>
          <w:p>
            <w:pPr>
              <w:spacing w:after="0" w:line="235" w:lineRule="auto"/>
            </w:pPr>
            <w:r>
              <w:rPr>
                <w:sz w:val="14"/>
              </w:rPr>
              <w:t>Provide independent risk-based assurance without assuming management ownership.</w:t>
            </w:r>
          </w:p>
        </w:tc>
      </w:tr>
      <w:tr>
        <w:trPr>
          <w:cantSplit/>
        </w:trPr>
        <w:tc>
          <w:tcPr>
            <w:tcW w:type="dxa" w:w="2232"/>
            <w:tcMar>
              <w:top w:w="65" w:type="dxa"/>
              <w:start w:w="65" w:type="dxa"/>
              <w:bottom w:w="65" w:type="dxa"/>
              <w:end w:w="65" w:type="dxa"/>
            </w:tcMar>
            <w:vAlign w:val="center"/>
          </w:tcPr>
          <w:p>
            <w:pPr>
              <w:spacing w:after="0" w:line="235" w:lineRule="auto"/>
            </w:pPr>
            <w:r>
              <w:rPr>
                <w:sz w:val="14"/>
              </w:rPr>
              <w:t>Managers</w:t>
            </w:r>
          </w:p>
        </w:tc>
        <w:tc>
          <w:tcPr>
            <w:tcW w:type="dxa" w:w="7560"/>
            <w:tcMar>
              <w:top w:w="65" w:type="dxa"/>
              <w:start w:w="65" w:type="dxa"/>
              <w:bottom w:w="65" w:type="dxa"/>
              <w:end w:w="65" w:type="dxa"/>
            </w:tcMar>
            <w:vAlign w:val="center"/>
          </w:tcPr>
          <w:p>
            <w:pPr>
              <w:spacing w:after="0" w:line="235" w:lineRule="auto"/>
            </w:pPr>
            <w:r>
              <w:rPr>
                <w:sz w:val="14"/>
              </w:rPr>
              <w:t>Model conduct, implement controls, respond to concerns and prevent retaliation.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Employees</w:t>
            </w:r>
          </w:p>
        </w:tc>
        <w:tc>
          <w:tcPr>
            <w:tcW w:type="dxa" w:w="7560"/>
            <w:tcMar>
              <w:top w:w="65" w:type="dxa"/>
              <w:start w:w="65" w:type="dxa"/>
              <w:bottom w:w="65" w:type="dxa"/>
              <w:end w:w="65" w:type="dxa"/>
            </w:tcMar>
            <w:vAlign w:val="center"/>
            <w:shd w:fill="F4F7FA"/>
          </w:tcPr>
          <w:p>
            <w:pPr>
              <w:spacing w:after="0" w:line="235" w:lineRule="auto"/>
            </w:pPr>
            <w:r>
              <w:rPr>
                <w:sz w:val="14"/>
              </w:rPr>
              <w:t>Comply, seek advice, maintain records and report concerns promptly.</w:t>
            </w:r>
          </w:p>
        </w:tc>
      </w:tr>
      <w:tr>
        <w:trPr>
          <w:cantSplit/>
        </w:trPr>
        <w:tc>
          <w:tcPr>
            <w:tcW w:type="dxa" w:w="2232"/>
            <w:tcMar>
              <w:top w:w="65" w:type="dxa"/>
              <w:start w:w="65" w:type="dxa"/>
              <w:bottom w:w="65" w:type="dxa"/>
              <w:end w:w="65" w:type="dxa"/>
            </w:tcMar>
            <w:vAlign w:val="center"/>
          </w:tcPr>
          <w:p>
            <w:pPr>
              <w:spacing w:after="0" w:line="235" w:lineRule="auto"/>
            </w:pPr>
            <w:r>
              <w:rPr>
                <w:sz w:val="14"/>
              </w:rPr>
              <w:t>Associated persons</w:t>
            </w:r>
          </w:p>
        </w:tc>
        <w:tc>
          <w:tcPr>
            <w:tcW w:type="dxa" w:w="7560"/>
            <w:tcMar>
              <w:top w:w="65" w:type="dxa"/>
              <w:start w:w="65" w:type="dxa"/>
              <w:bottom w:w="65" w:type="dxa"/>
              <w:end w:w="65" w:type="dxa"/>
            </w:tcMar>
            <w:vAlign w:val="center"/>
          </w:tcPr>
          <w:p>
            <w:pPr>
              <w:spacing w:after="0" w:line="235" w:lineRule="auto"/>
            </w:pPr>
            <w:r>
              <w:rPr>
                <w:sz w:val="14"/>
              </w:rPr>
              <w:t>Meet contractual and legal duties, maintain records, cooperate and report concerns.</w:t>
            </w:r>
          </w:p>
        </w:tc>
      </w:tr>
    </w:tbl>
    <w:p>
      <w:pPr>
        <w:spacing w:after="0"/>
      </w:pPr>
    </w:p>
    <w:p>
      <w:r>
        <w:br w:type="page"/>
      </w:r>
    </w:p>
    <w:p>
      <w:pPr>
        <w:pStyle w:val="Heading1"/>
      </w:pPr>
      <w:r>
        <w:t>Section 25 Risk Assessment Monitoring and Review</w:t>
      </w:r>
    </w:p>
    <w:p>
      <w:r>
        <w:t>The organisation will periodically assess bribery and corruption risk and whenever material changes occur. The assessment should consider countries, sectors, customers, public-official interaction, transaction types, third parties, business models, acquisitions, incentives, prior incidents and control maturity.</w:t>
      </w:r>
    </w:p>
    <w:p>
      <w:pPr>
        <w:pStyle w:val="Heading2"/>
      </w:pPr>
      <w:r>
        <w:t>Monitoring Activities</w:t>
      </w:r>
    </w:p>
    <w:p>
      <w:pPr>
        <w:pStyle w:val="ListBullet"/>
        <w:spacing w:after="60"/>
        <w:ind w:left="360"/>
      </w:pPr>
      <w:r>
        <w:t>Review gifts, hospitality, donations, sponsorships and political activity.</w:t>
      </w:r>
    </w:p>
    <w:p>
      <w:pPr>
        <w:pStyle w:val="ListBullet"/>
        <w:spacing w:after="60"/>
        <w:ind w:left="360"/>
      </w:pPr>
      <w:r>
        <w:t>Test high-risk third-party onboarding, renewal, invoices and payments.</w:t>
      </w:r>
    </w:p>
    <w:p>
      <w:pPr>
        <w:pStyle w:val="ListBullet"/>
        <w:spacing w:after="60"/>
        <w:ind w:left="360"/>
      </w:pPr>
      <w:r>
        <w:t>Analyse unusual transactions, commissions, discounts, cash, journals and bank changes.</w:t>
      </w:r>
    </w:p>
    <w:p>
      <w:pPr>
        <w:pStyle w:val="ListBullet"/>
        <w:spacing w:after="60"/>
        <w:ind w:left="360"/>
      </w:pPr>
      <w:r>
        <w:t>Monitor training, declarations, speak-up cases, retaliation, investigations and overdue actions.</w:t>
      </w:r>
    </w:p>
    <w:p>
      <w:pPr>
        <w:pStyle w:val="ListBullet"/>
        <w:spacing w:after="60"/>
        <w:ind w:left="360"/>
      </w:pPr>
      <w:r>
        <w:t>Test government-interaction, licence, customs and procurement controls.</w:t>
      </w:r>
    </w:p>
    <w:p>
      <w:pPr>
        <w:pStyle w:val="ListBullet"/>
        <w:spacing w:after="60"/>
        <w:ind w:left="360"/>
      </w:pPr>
      <w:r>
        <w:t>Track legal changes, enforcement trends and internal red flags.</w:t>
      </w:r>
    </w:p>
    <w:p>
      <w:pPr>
        <w:pStyle w:val="ListBullet"/>
        <w:spacing w:after="60"/>
        <w:ind w:left="360"/>
      </w:pPr>
      <w:r>
        <w:t>Validate corrective actions and repeat findings.</w:t>
      </w:r>
    </w:p>
    <w:p>
      <w:pPr>
        <w:pStyle w:val="Heading2"/>
      </w:pPr>
      <w:r>
        <w:t>Programme Reporting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880"/>
            <w:shd w:fill="17365D"/>
            <w:tcMar>
              <w:top w:w="65" w:type="dxa"/>
              <w:start w:w="65" w:type="dxa"/>
              <w:bottom w:w="65" w:type="dxa"/>
              <w:end w:w="65" w:type="dxa"/>
            </w:tcMar>
            <w:vAlign w:val="center"/>
          </w:tcPr>
          <w:p>
            <w:r>
              <w:rPr>
                <w:b/>
                <w:color w:val="FFFFFF"/>
                <w:sz w:val="15"/>
              </w:rPr>
              <w:t>Measure</w:t>
            </w:r>
          </w:p>
        </w:tc>
        <w:tc>
          <w:tcPr>
            <w:tcW w:type="dxa" w:w="6912"/>
            <w:shd w:fill="17365D"/>
            <w:tcMar>
              <w:top w:w="65" w:type="dxa"/>
              <w:start w:w="65" w:type="dxa"/>
              <w:bottom w:w="65" w:type="dxa"/>
              <w:end w:w="65" w:type="dxa"/>
            </w:tcMar>
            <w:vAlign w:val="center"/>
          </w:tcPr>
          <w:p>
            <w:r>
              <w:rPr>
                <w:b/>
                <w:color w:val="FFFFFF"/>
                <w:sz w:val="15"/>
              </w:rPr>
              <w:t>Suggested oversight</w:t>
            </w:r>
          </w:p>
        </w:tc>
      </w:tr>
      <w:tr>
        <w:trPr>
          <w:cantSplit/>
        </w:trPr>
        <w:tc>
          <w:tcPr>
            <w:tcW w:type="dxa" w:w="2880"/>
            <w:tcMar>
              <w:top w:w="65" w:type="dxa"/>
              <w:start w:w="65" w:type="dxa"/>
              <w:bottom w:w="65" w:type="dxa"/>
              <w:end w:w="65" w:type="dxa"/>
            </w:tcMar>
            <w:vAlign w:val="center"/>
          </w:tcPr>
          <w:p>
            <w:pPr>
              <w:spacing w:after="0" w:line="235" w:lineRule="auto"/>
            </w:pPr>
            <w:r>
              <w:rPr>
                <w:sz w:val="15"/>
              </w:rPr>
              <w:t>Risk assessment coverage</w:t>
            </w:r>
          </w:p>
        </w:tc>
        <w:tc>
          <w:tcPr>
            <w:tcW w:type="dxa" w:w="6912"/>
            <w:tcMar>
              <w:top w:w="65" w:type="dxa"/>
              <w:start w:w="65" w:type="dxa"/>
              <w:bottom w:w="65" w:type="dxa"/>
              <w:end w:w="65" w:type="dxa"/>
            </w:tcMar>
            <w:vAlign w:val="center"/>
          </w:tcPr>
          <w:p>
            <w:pPr>
              <w:spacing w:after="0" w:line="235" w:lineRule="auto"/>
            </w:pPr>
            <w:r>
              <w:rPr>
                <w:sz w:val="15"/>
              </w:rPr>
              <w:t>Entities, countries, processes and change triggers.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Due diligence</w:t>
            </w:r>
          </w:p>
        </w:tc>
        <w:tc>
          <w:tcPr>
            <w:tcW w:type="dxa" w:w="6912"/>
            <w:tcMar>
              <w:top w:w="65" w:type="dxa"/>
              <w:start w:w="65" w:type="dxa"/>
              <w:bottom w:w="65" w:type="dxa"/>
              <w:end w:w="65" w:type="dxa"/>
            </w:tcMar>
            <w:vAlign w:val="center"/>
            <w:shd w:fill="F4F7FA"/>
          </w:tcPr>
          <w:p>
            <w:pPr>
              <w:spacing w:after="0" w:line="235" w:lineRule="auto"/>
            </w:pPr>
            <w:r>
              <w:rPr>
                <w:sz w:val="15"/>
              </w:rPr>
              <w:t>High-risk reviews, renewals, exceptions and unresolved red flags.</w:t>
            </w:r>
          </w:p>
        </w:tc>
      </w:tr>
      <w:tr>
        <w:trPr>
          <w:cantSplit/>
        </w:trPr>
        <w:tc>
          <w:tcPr>
            <w:tcW w:type="dxa" w:w="2880"/>
            <w:tcMar>
              <w:top w:w="65" w:type="dxa"/>
              <w:start w:w="65" w:type="dxa"/>
              <w:bottom w:w="65" w:type="dxa"/>
              <w:end w:w="65" w:type="dxa"/>
            </w:tcMar>
            <w:vAlign w:val="center"/>
          </w:tcPr>
          <w:p>
            <w:pPr>
              <w:spacing w:after="0" w:line="235" w:lineRule="auto"/>
            </w:pPr>
            <w:r>
              <w:rPr>
                <w:sz w:val="15"/>
              </w:rPr>
              <w:t>Transactions</w:t>
            </w:r>
          </w:p>
        </w:tc>
        <w:tc>
          <w:tcPr>
            <w:tcW w:type="dxa" w:w="6912"/>
            <w:tcMar>
              <w:top w:w="65" w:type="dxa"/>
              <w:start w:w="65" w:type="dxa"/>
              <w:bottom w:w="65" w:type="dxa"/>
              <w:end w:w="65" w:type="dxa"/>
            </w:tcMar>
            <w:vAlign w:val="center"/>
          </w:tcPr>
          <w:p>
            <w:pPr>
              <w:spacing w:after="0" w:line="235" w:lineRule="auto"/>
            </w:pPr>
            <w:r>
              <w:rPr>
                <w:sz w:val="15"/>
              </w:rPr>
              <w:t>Samples, exception rates, stopped payments and themes.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Speak up</w:t>
            </w:r>
          </w:p>
        </w:tc>
        <w:tc>
          <w:tcPr>
            <w:tcW w:type="dxa" w:w="6912"/>
            <w:tcMar>
              <w:top w:w="65" w:type="dxa"/>
              <w:start w:w="65" w:type="dxa"/>
              <w:bottom w:w="65" w:type="dxa"/>
              <w:end w:w="65" w:type="dxa"/>
            </w:tcMar>
            <w:vAlign w:val="center"/>
            <w:shd w:fill="F4F7FA"/>
          </w:tcPr>
          <w:p>
            <w:pPr>
              <w:spacing w:after="0" w:line="235" w:lineRule="auto"/>
            </w:pPr>
            <w:r>
              <w:rPr>
                <w:sz w:val="15"/>
              </w:rPr>
              <w:t>Cases, severity, timeliness, substantiation and retaliation.</w:t>
            </w:r>
          </w:p>
        </w:tc>
      </w:tr>
      <w:tr>
        <w:trPr>
          <w:cantSplit/>
        </w:trPr>
        <w:tc>
          <w:tcPr>
            <w:tcW w:type="dxa" w:w="2880"/>
            <w:tcMar>
              <w:top w:w="65" w:type="dxa"/>
              <w:start w:w="65" w:type="dxa"/>
              <w:bottom w:w="65" w:type="dxa"/>
              <w:end w:w="65" w:type="dxa"/>
            </w:tcMar>
            <w:vAlign w:val="center"/>
          </w:tcPr>
          <w:p>
            <w:pPr>
              <w:spacing w:after="0" w:line="235" w:lineRule="auto"/>
            </w:pPr>
            <w:r>
              <w:rPr>
                <w:sz w:val="15"/>
              </w:rPr>
              <w:t>Training</w:t>
            </w:r>
          </w:p>
        </w:tc>
        <w:tc>
          <w:tcPr>
            <w:tcW w:type="dxa" w:w="6912"/>
            <w:tcMar>
              <w:top w:w="65" w:type="dxa"/>
              <w:start w:w="65" w:type="dxa"/>
              <w:bottom w:w="65" w:type="dxa"/>
              <w:end w:w="65" w:type="dxa"/>
            </w:tcMar>
            <w:vAlign w:val="center"/>
          </w:tcPr>
          <w:p>
            <w:pPr>
              <w:spacing w:after="0" w:line="235" w:lineRule="auto"/>
            </w:pPr>
            <w:r>
              <w:rPr>
                <w:sz w:val="15"/>
              </w:rPr>
              <w:t>Coverage, completion, assessment and high-risk roles.</w:t>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5"/>
              </w:rPr>
              <w:t>Remediation</w:t>
            </w:r>
          </w:p>
        </w:tc>
        <w:tc>
          <w:tcPr>
            <w:tcW w:type="dxa" w:w="6912"/>
            <w:tcMar>
              <w:top w:w="65" w:type="dxa"/>
              <w:start w:w="65" w:type="dxa"/>
              <w:bottom w:w="65" w:type="dxa"/>
              <w:end w:w="65" w:type="dxa"/>
            </w:tcMar>
            <w:vAlign w:val="center"/>
            <w:shd w:fill="F4F7FA"/>
          </w:tcPr>
          <w:p>
            <w:pPr>
              <w:spacing w:after="0" w:line="235" w:lineRule="auto"/>
            </w:pPr>
            <w:r>
              <w:rPr>
                <w:sz w:val="15"/>
              </w:rPr>
              <w:t>Actions, overdue items, validation and repeat issues.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Risk assessment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Monitoring plan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Board reporting frequency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Policy review cycle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Section 26 Records Confidentiality and Data Protection</w:t>
      </w:r>
    </w:p>
    <w:p>
      <w:r>
        <w:t>Records created under this policy must be complete, secure, accessible to authorised personnel and retained in accordance with law and the approved retention schedule. Personal information must be collected and used only as necessary for legitimate compliance purposes.</w:t>
      </w:r>
    </w:p>
    <w:p>
      <w:pPr>
        <w:pStyle w:val="Heading2"/>
      </w:pPr>
      <w:r>
        <w:t>Record Categories</w:t>
      </w:r>
    </w:p>
    <w:p>
      <w:pPr>
        <w:pStyle w:val="ListBullet"/>
        <w:spacing w:after="60"/>
        <w:ind w:left="360"/>
      </w:pPr>
      <w:r>
        <w:t>Approvals, registers and supporting evidence for gifts, hospitality, travel and donations.</w:t>
      </w:r>
    </w:p>
    <w:p>
      <w:pPr>
        <w:pStyle w:val="ListBullet"/>
        <w:spacing w:after="60"/>
        <w:ind w:left="360"/>
      </w:pPr>
      <w:r>
        <w:t>Third-party due diligence, risk ratings, contracts, monitoring and payment records.</w:t>
      </w:r>
    </w:p>
    <w:p>
      <w:pPr>
        <w:pStyle w:val="ListBullet"/>
        <w:spacing w:after="60"/>
        <w:ind w:left="360"/>
      </w:pPr>
      <w:r>
        <w:t>Conflict declarations, training, certifications and advice.</w:t>
      </w:r>
    </w:p>
    <w:p>
      <w:pPr>
        <w:pStyle w:val="ListBullet"/>
        <w:spacing w:after="60"/>
        <w:ind w:left="360"/>
      </w:pPr>
      <w:r>
        <w:t>Government interactions, official fees, licences and permits.</w:t>
      </w:r>
    </w:p>
    <w:p>
      <w:pPr>
        <w:pStyle w:val="ListBullet"/>
        <w:spacing w:after="60"/>
        <w:ind w:left="360"/>
      </w:pPr>
      <w:r>
        <w:t>Reports, case records, investigation evidence, findings and remediation.</w:t>
      </w:r>
    </w:p>
    <w:p>
      <w:pPr>
        <w:pStyle w:val="ListBullet"/>
        <w:spacing w:after="60"/>
        <w:ind w:left="360"/>
      </w:pPr>
      <w:r>
        <w:t>Risk assessments, monitoring workpapers, management and board reports.</w:t>
      </w:r>
    </w:p>
    <w:p>
      <w:pPr>
        <w:pStyle w:val="Heading2"/>
      </w:pPr>
      <w:r>
        <w:t>Confidentiality Rules</w:t>
      </w:r>
    </w:p>
    <w:p>
      <w:pPr>
        <w:pStyle w:val="ListBullet"/>
        <w:spacing w:after="60"/>
        <w:ind w:left="360"/>
      </w:pPr>
      <w:r>
        <w:t>Access is limited to authorised people with a legitimate need.</w:t>
      </w:r>
    </w:p>
    <w:p>
      <w:pPr>
        <w:pStyle w:val="ListBullet"/>
        <w:spacing w:after="60"/>
        <w:ind w:left="360"/>
      </w:pPr>
      <w:r>
        <w:t>Reporter and witness identities receive enhanced protection.</w:t>
      </w:r>
    </w:p>
    <w:p>
      <w:pPr>
        <w:pStyle w:val="ListBullet"/>
        <w:spacing w:after="60"/>
        <w:ind w:left="360"/>
      </w:pPr>
      <w:r>
        <w:t>Sensitive records are not stored in personal email or unapproved locations.</w:t>
      </w:r>
    </w:p>
    <w:p>
      <w:pPr>
        <w:pStyle w:val="ListBullet"/>
        <w:spacing w:after="60"/>
        <w:ind w:left="360"/>
      </w:pPr>
      <w:r>
        <w:t>Information is not shared with a subject or third party where it may create risk or breach law.</w:t>
      </w:r>
    </w:p>
    <w:p>
      <w:pPr>
        <w:pStyle w:val="ListBullet"/>
        <w:spacing w:after="60"/>
        <w:ind w:left="360"/>
      </w:pPr>
      <w:r>
        <w:t>Legal holds suspend routine destruction.</w:t>
      </w:r>
    </w:p>
    <w:p>
      <w:pPr>
        <w:pStyle w:val="ListBullet"/>
        <w:spacing w:after="60"/>
        <w:ind w:left="360"/>
      </w:pPr>
      <w:r>
        <w:t>Cross-border access and transfers follow applicable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Retention schedule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repository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Access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Privacy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Legal-hold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27 Exceptions Waivers and Local Supplements</w:t>
      </w:r>
    </w:p>
    <w:p>
      <w:r>
        <w:t>Exceptions are expected to be rare. No exception may authorise bribery, false records, retaliation or conduct prohibited by law. A request must be made before the activity, identify the rule, business need, risk, alternatives, duration and safeguards, and be approved by the authorised legal and compliance functions.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384"/>
            <w:shd w:fill="17365D"/>
            <w:tcMar>
              <w:top w:w="65" w:type="dxa"/>
              <w:start w:w="65" w:type="dxa"/>
              <w:bottom w:w="65" w:type="dxa"/>
              <w:end w:w="65" w:type="dxa"/>
            </w:tcMar>
            <w:vAlign w:val="center"/>
          </w:tcPr>
          <w:p>
            <w:r>
              <w:rPr>
                <w:b/>
                <w:color w:val="FFFFFF"/>
                <w:sz w:val="15"/>
              </w:rPr>
              <w:t>Required exception record</w:t>
            </w:r>
          </w:p>
        </w:tc>
        <w:tc>
          <w:tcPr>
            <w:tcW w:type="dxa" w:w="6408"/>
            <w:shd w:fill="17365D"/>
            <w:tcMar>
              <w:top w:w="65" w:type="dxa"/>
              <w:start w:w="65" w:type="dxa"/>
              <w:bottom w:w="65" w:type="dxa"/>
              <w:end w:w="65" w:type="dxa"/>
            </w:tcMar>
            <w:vAlign w:val="center"/>
          </w:tcPr>
          <w:p>
            <w:r>
              <w:rPr>
                <w:b/>
                <w:color w:val="FFFFFF"/>
                <w:sz w:val="15"/>
              </w:rPr>
              <w:t>Details</w:t>
            </w:r>
          </w:p>
        </w:tc>
      </w:tr>
      <w:tr>
        <w:trPr>
          <w:cantSplit/>
        </w:trPr>
        <w:tc>
          <w:tcPr>
            <w:tcW w:type="dxa" w:w="3384"/>
            <w:tcMar>
              <w:top w:w="65" w:type="dxa"/>
              <w:start w:w="65" w:type="dxa"/>
              <w:bottom w:w="65" w:type="dxa"/>
              <w:end w:w="65" w:type="dxa"/>
            </w:tcMar>
            <w:vAlign w:val="center"/>
          </w:tcPr>
          <w:p>
            <w:pPr>
              <w:spacing w:after="0" w:line="235" w:lineRule="auto"/>
            </w:pPr>
            <w:r>
              <w:rPr>
                <w:sz w:val="15"/>
              </w:rPr>
              <w:t>Requester and business owner</w:t>
            </w:r>
          </w:p>
        </w:tc>
        <w:tc>
          <w:tcPr>
            <w:tcW w:type="dxa" w:w="6408"/>
            <w:tcMar>
              <w:top w:w="65" w:type="dxa"/>
              <w:start w:w="65" w:type="dxa"/>
              <w:bottom w:w="65" w:type="dxa"/>
              <w:end w:w="65" w:type="dxa"/>
            </w:tcMar>
            <w:vAlign w:val="center"/>
          </w:tcPr>
          <w:p>
            <w:pPr>
              <w:spacing w:after="0" w:line="235" w:lineRule="auto"/>
            </w:pPr>
            <w:r>
              <w:rPr>
                <w:sz w:val="15"/>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5"/>
              </w:rPr>
              <w:t>Policy requirement affected</w:t>
            </w:r>
          </w:p>
        </w:tc>
        <w:tc>
          <w:tcPr>
            <w:tcW w:type="dxa" w:w="640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384"/>
            <w:tcMar>
              <w:top w:w="65" w:type="dxa"/>
              <w:start w:w="65" w:type="dxa"/>
              <w:bottom w:w="65" w:type="dxa"/>
              <w:end w:w="65" w:type="dxa"/>
            </w:tcMar>
            <w:vAlign w:val="center"/>
          </w:tcPr>
          <w:p>
            <w:pPr>
              <w:spacing w:after="0" w:line="235" w:lineRule="auto"/>
            </w:pPr>
            <w:r>
              <w:rPr>
                <w:sz w:val="15"/>
              </w:rPr>
              <w:t>Business rationale</w:t>
            </w:r>
          </w:p>
        </w:tc>
        <w:tc>
          <w:tcPr>
            <w:tcW w:type="dxa" w:w="6408"/>
            <w:tcMar>
              <w:top w:w="65" w:type="dxa"/>
              <w:start w:w="65" w:type="dxa"/>
              <w:bottom w:w="65" w:type="dxa"/>
              <w:end w:w="65" w:type="dxa"/>
            </w:tcMar>
            <w:vAlign w:val="center"/>
          </w:tcPr>
          <w:p>
            <w:pPr>
              <w:spacing w:after="0" w:line="235" w:lineRule="auto"/>
            </w:pPr>
            <w:r>
              <w:rPr>
                <w:sz w:val="15"/>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5"/>
              </w:rPr>
              <w:t>Legal and compliance assessment</w:t>
            </w:r>
          </w:p>
        </w:tc>
        <w:tc>
          <w:tcPr>
            <w:tcW w:type="dxa" w:w="640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384"/>
            <w:tcMar>
              <w:top w:w="65" w:type="dxa"/>
              <w:start w:w="65" w:type="dxa"/>
              <w:bottom w:w="65" w:type="dxa"/>
              <w:end w:w="65" w:type="dxa"/>
            </w:tcMar>
            <w:vAlign w:val="center"/>
          </w:tcPr>
          <w:p>
            <w:pPr>
              <w:spacing w:after="0" w:line="235" w:lineRule="auto"/>
            </w:pPr>
            <w:r>
              <w:rPr>
                <w:sz w:val="15"/>
              </w:rPr>
              <w:t>Risk and affected parties</w:t>
            </w:r>
          </w:p>
        </w:tc>
        <w:tc>
          <w:tcPr>
            <w:tcW w:type="dxa" w:w="6408"/>
            <w:tcMar>
              <w:top w:w="65" w:type="dxa"/>
              <w:start w:w="65" w:type="dxa"/>
              <w:bottom w:w="65" w:type="dxa"/>
              <w:end w:w="65" w:type="dxa"/>
            </w:tcMar>
            <w:vAlign w:val="center"/>
          </w:tcPr>
          <w:p>
            <w:pPr>
              <w:spacing w:after="0" w:line="235" w:lineRule="auto"/>
            </w:pPr>
            <w:r>
              <w:rPr>
                <w:sz w:val="15"/>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5"/>
              </w:rPr>
              <w:t>Alternative options considered</w:t>
            </w:r>
          </w:p>
        </w:tc>
        <w:tc>
          <w:tcPr>
            <w:tcW w:type="dxa" w:w="640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384"/>
            <w:tcMar>
              <w:top w:w="65" w:type="dxa"/>
              <w:start w:w="65" w:type="dxa"/>
              <w:bottom w:w="65" w:type="dxa"/>
              <w:end w:w="65" w:type="dxa"/>
            </w:tcMar>
            <w:vAlign w:val="center"/>
          </w:tcPr>
          <w:p>
            <w:pPr>
              <w:spacing w:after="0" w:line="235" w:lineRule="auto"/>
            </w:pPr>
            <w:r>
              <w:rPr>
                <w:sz w:val="15"/>
              </w:rPr>
              <w:t>Safeguards and conditions</w:t>
            </w:r>
          </w:p>
        </w:tc>
        <w:tc>
          <w:tcPr>
            <w:tcW w:type="dxa" w:w="6408"/>
            <w:tcMar>
              <w:top w:w="65" w:type="dxa"/>
              <w:start w:w="65" w:type="dxa"/>
              <w:bottom w:w="65" w:type="dxa"/>
              <w:end w:w="65" w:type="dxa"/>
            </w:tcMar>
            <w:vAlign w:val="center"/>
          </w:tcPr>
          <w:p>
            <w:pPr>
              <w:spacing w:after="0" w:line="235" w:lineRule="auto"/>
            </w:pPr>
            <w:r>
              <w:rPr>
                <w:sz w:val="15"/>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5"/>
              </w:rPr>
              <w:t>Approver and approval date</w:t>
            </w:r>
          </w:p>
        </w:tc>
        <w:tc>
          <w:tcPr>
            <w:tcW w:type="dxa" w:w="640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384"/>
            <w:tcMar>
              <w:top w:w="65" w:type="dxa"/>
              <w:start w:w="65" w:type="dxa"/>
              <w:bottom w:w="65" w:type="dxa"/>
              <w:end w:w="65" w:type="dxa"/>
            </w:tcMar>
            <w:vAlign w:val="center"/>
          </w:tcPr>
          <w:p>
            <w:pPr>
              <w:spacing w:after="0" w:line="235" w:lineRule="auto"/>
            </w:pPr>
            <w:r>
              <w:rPr>
                <w:sz w:val="15"/>
              </w:rPr>
              <w:t>Start and expiry date</w:t>
            </w:r>
          </w:p>
        </w:tc>
        <w:tc>
          <w:tcPr>
            <w:tcW w:type="dxa" w:w="6408"/>
            <w:tcMar>
              <w:top w:w="65" w:type="dxa"/>
              <w:start w:w="65" w:type="dxa"/>
              <w:bottom w:w="65" w:type="dxa"/>
              <w:end w:w="65" w:type="dxa"/>
            </w:tcMar>
            <w:vAlign w:val="center"/>
          </w:tcPr>
          <w:p>
            <w:pPr>
              <w:spacing w:after="0" w:line="235" w:lineRule="auto"/>
            </w:pPr>
            <w:r>
              <w:rPr>
                <w:sz w:val="15"/>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5"/>
              </w:rPr>
              <w:t>Monitoring and closure evidence</w:t>
            </w:r>
          </w:p>
        </w:tc>
        <w:tc>
          <w:tcPr>
            <w:tcW w:type="dxa" w:w="6408"/>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Local Supplements</w:t>
      </w:r>
    </w:p>
    <w:p>
      <w:r>
        <w:t>A local supplement may add legal requirements, lower thresholds, additional approvals or local reporting routes. It must identify its relationship to this policy, be legally reviewed, approved by the policy owner, version controlled, communicated and periodically reviewed.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Exception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Maximum duration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Register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Local supplement approval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Conflict-resolution rule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Section 28 Policy Breach Escalation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2592"/>
            <w:shd w:fill="17365D"/>
            <w:tcMar>
              <w:top w:w="65" w:type="dxa"/>
              <w:start w:w="65" w:type="dxa"/>
              <w:bottom w:w="65" w:type="dxa"/>
              <w:end w:w="65" w:type="dxa"/>
            </w:tcMar>
            <w:vAlign w:val="center"/>
          </w:tcPr>
          <w:p>
            <w:r>
              <w:rPr>
                <w:b/>
                <w:color w:val="FFFFFF"/>
                <w:sz w:val="13"/>
              </w:rPr>
              <w:t>Situation</w:t>
            </w:r>
          </w:p>
        </w:tc>
        <w:tc>
          <w:tcPr>
            <w:tcW w:type="dxa" w:w="1944"/>
            <w:shd w:fill="17365D"/>
            <w:tcMar>
              <w:top w:w="65" w:type="dxa"/>
              <w:start w:w="65" w:type="dxa"/>
              <w:bottom w:w="65" w:type="dxa"/>
              <w:end w:w="65" w:type="dxa"/>
            </w:tcMar>
            <w:vAlign w:val="center"/>
          </w:tcPr>
          <w:p>
            <w:r>
              <w:rPr>
                <w:b/>
                <w:color w:val="FFFFFF"/>
                <w:sz w:val="13"/>
              </w:rPr>
              <w:t>Immediate owner</w:t>
            </w:r>
          </w:p>
        </w:tc>
        <w:tc>
          <w:tcPr>
            <w:tcW w:type="dxa" w:w="2232"/>
            <w:shd w:fill="17365D"/>
            <w:tcMar>
              <w:top w:w="65" w:type="dxa"/>
              <w:start w:w="65" w:type="dxa"/>
              <w:bottom w:w="65" w:type="dxa"/>
              <w:end w:w="65" w:type="dxa"/>
            </w:tcMar>
            <w:vAlign w:val="center"/>
          </w:tcPr>
          <w:p>
            <w:r>
              <w:rPr>
                <w:b/>
                <w:color w:val="FFFFFF"/>
                <w:sz w:val="13"/>
              </w:rPr>
              <w:t>Minimum escalation</w:t>
            </w:r>
          </w:p>
        </w:tc>
        <w:tc>
          <w:tcPr>
            <w:tcW w:type="dxa" w:w="3024"/>
            <w:shd w:fill="17365D"/>
            <w:tcMar>
              <w:top w:w="65" w:type="dxa"/>
              <w:start w:w="65" w:type="dxa"/>
              <w:bottom w:w="65" w:type="dxa"/>
              <w:end w:w="65" w:type="dxa"/>
            </w:tcMar>
            <w:vAlign w:val="center"/>
          </w:tcPr>
          <w:p>
            <w:r>
              <w:rPr>
                <w:b/>
                <w:color w:val="FFFFFF"/>
                <w:sz w:val="13"/>
              </w:rPr>
              <w:t>Indicative action</w:t>
            </w:r>
          </w:p>
        </w:tc>
      </w:tr>
      <w:tr>
        <w:trPr>
          <w:cantSplit/>
        </w:trPr>
        <w:tc>
          <w:tcPr>
            <w:tcW w:type="dxa" w:w="2592"/>
            <w:tcMar>
              <w:top w:w="65" w:type="dxa"/>
              <w:start w:w="65" w:type="dxa"/>
              <w:bottom w:w="65" w:type="dxa"/>
              <w:end w:w="65" w:type="dxa"/>
            </w:tcMar>
            <w:vAlign w:val="center"/>
          </w:tcPr>
          <w:p>
            <w:pPr>
              <w:spacing w:after="0" w:line="235" w:lineRule="auto"/>
            </w:pPr>
            <w:r>
              <w:rPr>
                <w:sz w:val="13"/>
              </w:rPr>
              <w:t>Routine advice or low-risk uncertainty</w:t>
            </w:r>
          </w:p>
        </w:tc>
        <w:tc>
          <w:tcPr>
            <w:tcW w:type="dxa" w:w="1944"/>
            <w:tcMar>
              <w:top w:w="65" w:type="dxa"/>
              <w:start w:w="65" w:type="dxa"/>
              <w:bottom w:w="65" w:type="dxa"/>
              <w:end w:w="65" w:type="dxa"/>
            </w:tcMar>
            <w:vAlign w:val="center"/>
          </w:tcPr>
          <w:p>
            <w:pPr>
              <w:spacing w:after="0" w:line="235" w:lineRule="auto"/>
            </w:pPr>
            <w:r>
              <w:rPr>
                <w:sz w:val="13"/>
              </w:rPr>
              <w:t>Manager or compliance</w:t>
            </w:r>
          </w:p>
        </w:tc>
        <w:tc>
          <w:tcPr>
            <w:tcW w:type="dxa" w:w="2232"/>
            <w:tcMar>
              <w:top w:w="65" w:type="dxa"/>
              <w:start w:w="65" w:type="dxa"/>
              <w:bottom w:w="65" w:type="dxa"/>
              <w:end w:w="65" w:type="dxa"/>
            </w:tcMar>
            <w:vAlign w:val="center"/>
          </w:tcPr>
          <w:p>
            <w:pPr>
              <w:spacing w:after="0" w:line="235" w:lineRule="auto"/>
            </w:pPr>
            <w:r>
              <w:rPr>
                <w:sz w:val="13"/>
              </w:rPr>
              <w:t>Normal advice channel</w:t>
            </w:r>
          </w:p>
        </w:tc>
        <w:tc>
          <w:tcPr>
            <w:tcW w:type="dxa" w:w="3024"/>
            <w:tcMar>
              <w:top w:w="65" w:type="dxa"/>
              <w:start w:w="65" w:type="dxa"/>
              <w:bottom w:w="65" w:type="dxa"/>
              <w:end w:w="65" w:type="dxa"/>
            </w:tcMar>
            <w:vAlign w:val="center"/>
          </w:tcPr>
          <w:p>
            <w:pPr>
              <w:spacing w:after="0" w:line="235" w:lineRule="auto"/>
            </w:pPr>
            <w:r>
              <w:rPr>
                <w:sz w:val="13"/>
              </w:rPr>
              <w:t>Clarify, document and approve or stop.</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3"/>
              </w:rPr>
              <w:t>Policy exception or control failure</w:t>
            </w:r>
          </w:p>
        </w:tc>
        <w:tc>
          <w:tcPr>
            <w:tcW w:type="dxa" w:w="1944"/>
            <w:tcMar>
              <w:top w:w="65" w:type="dxa"/>
              <w:start w:w="65" w:type="dxa"/>
              <w:bottom w:w="65" w:type="dxa"/>
              <w:end w:w="65" w:type="dxa"/>
            </w:tcMar>
            <w:vAlign w:val="center"/>
            <w:shd w:fill="F4F7FA"/>
          </w:tcPr>
          <w:p>
            <w:pPr>
              <w:spacing w:after="0" w:line="235" w:lineRule="auto"/>
            </w:pPr>
            <w:r>
              <w:rPr>
                <w:sz w:val="13"/>
              </w:rPr>
              <w:t>Business owner and compliance</w:t>
            </w:r>
          </w:p>
        </w:tc>
        <w:tc>
          <w:tcPr>
            <w:tcW w:type="dxa" w:w="2232"/>
            <w:tcMar>
              <w:top w:w="65" w:type="dxa"/>
              <w:start w:w="65" w:type="dxa"/>
              <w:bottom w:w="65" w:type="dxa"/>
              <w:end w:w="65" w:type="dxa"/>
            </w:tcMar>
            <w:vAlign w:val="center"/>
            <w:shd w:fill="F4F7FA"/>
          </w:tcPr>
          <w:p>
            <w:pPr>
              <w:spacing w:after="0" w:line="235" w:lineRule="auto"/>
            </w:pPr>
            <w:r>
              <w:rPr>
                <w:sz w:val="13"/>
              </w:rPr>
              <w:t>Functional leadership</w:t>
            </w:r>
          </w:p>
        </w:tc>
        <w:tc>
          <w:tcPr>
            <w:tcW w:type="dxa" w:w="3024"/>
            <w:tcMar>
              <w:top w:w="65" w:type="dxa"/>
              <w:start w:w="65" w:type="dxa"/>
              <w:bottom w:w="65" w:type="dxa"/>
              <w:end w:w="65" w:type="dxa"/>
            </w:tcMar>
            <w:vAlign w:val="center"/>
            <w:shd w:fill="F4F7FA"/>
          </w:tcPr>
          <w:p>
            <w:pPr>
              <w:spacing w:after="0" w:line="235" w:lineRule="auto"/>
            </w:pPr>
            <w:r>
              <w:rPr>
                <w:sz w:val="13"/>
              </w:rPr>
              <w:t>Contain, assess impact and remediate.</w:t>
            </w:r>
          </w:p>
        </w:tc>
      </w:tr>
      <w:tr>
        <w:trPr>
          <w:cantSplit/>
        </w:trPr>
        <w:tc>
          <w:tcPr>
            <w:tcW w:type="dxa" w:w="2592"/>
            <w:tcMar>
              <w:top w:w="65" w:type="dxa"/>
              <w:start w:w="65" w:type="dxa"/>
              <w:bottom w:w="65" w:type="dxa"/>
              <w:end w:w="65" w:type="dxa"/>
            </w:tcMar>
            <w:vAlign w:val="center"/>
          </w:tcPr>
          <w:p>
            <w:pPr>
              <w:spacing w:after="0" w:line="235" w:lineRule="auto"/>
            </w:pPr>
            <w:r>
              <w:rPr>
                <w:sz w:val="13"/>
              </w:rPr>
              <w:t>Credible bribery allegation</w:t>
            </w:r>
          </w:p>
        </w:tc>
        <w:tc>
          <w:tcPr>
            <w:tcW w:type="dxa" w:w="1944"/>
            <w:tcMar>
              <w:top w:w="65" w:type="dxa"/>
              <w:start w:w="65" w:type="dxa"/>
              <w:bottom w:w="65" w:type="dxa"/>
              <w:end w:w="65" w:type="dxa"/>
            </w:tcMar>
            <w:vAlign w:val="center"/>
          </w:tcPr>
          <w:p>
            <w:pPr>
              <w:spacing w:after="0" w:line="235" w:lineRule="auto"/>
            </w:pPr>
            <w:r>
              <w:rPr>
                <w:sz w:val="13"/>
              </w:rPr>
              <w:t>Investigation owner</w:t>
            </w:r>
          </w:p>
        </w:tc>
        <w:tc>
          <w:tcPr>
            <w:tcW w:type="dxa" w:w="2232"/>
            <w:tcMar>
              <w:top w:w="65" w:type="dxa"/>
              <w:start w:w="65" w:type="dxa"/>
              <w:bottom w:w="65" w:type="dxa"/>
              <w:end w:w="65" w:type="dxa"/>
            </w:tcMar>
            <w:vAlign w:val="center"/>
          </w:tcPr>
          <w:p>
            <w:pPr>
              <w:spacing w:after="0" w:line="235" w:lineRule="auto"/>
            </w:pPr>
            <w:r>
              <w:rPr>
                <w:sz w:val="13"/>
              </w:rPr>
              <w:t>Legal, compliance and senior authority</w:t>
            </w:r>
          </w:p>
        </w:tc>
        <w:tc>
          <w:tcPr>
            <w:tcW w:type="dxa" w:w="3024"/>
            <w:tcMar>
              <w:top w:w="65" w:type="dxa"/>
              <w:start w:w="65" w:type="dxa"/>
              <w:bottom w:w="65" w:type="dxa"/>
              <w:end w:w="65" w:type="dxa"/>
            </w:tcMar>
            <w:vAlign w:val="center"/>
          </w:tcPr>
          <w:p>
            <w:pPr>
              <w:spacing w:after="0" w:line="235" w:lineRule="auto"/>
            </w:pPr>
            <w:r>
              <w:rPr>
                <w:sz w:val="13"/>
              </w:rPr>
              <w:t>Preserve evidence, triage and investigate.</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3"/>
              </w:rPr>
              <w:t>Public-official or high-value concern</w:t>
            </w:r>
          </w:p>
        </w:tc>
        <w:tc>
          <w:tcPr>
            <w:tcW w:type="dxa" w:w="1944"/>
            <w:tcMar>
              <w:top w:w="65" w:type="dxa"/>
              <w:start w:w="65" w:type="dxa"/>
              <w:bottom w:w="65" w:type="dxa"/>
              <w:end w:w="65" w:type="dxa"/>
            </w:tcMar>
            <w:vAlign w:val="center"/>
            <w:shd w:fill="F4F7FA"/>
          </w:tcPr>
          <w:p>
            <w:pPr>
              <w:spacing w:after="0" w:line="235" w:lineRule="auto"/>
            </w:pPr>
            <w:r>
              <w:rPr>
                <w:sz w:val="13"/>
              </w:rPr>
              <w:t>Compliance and legal</w:t>
            </w:r>
          </w:p>
        </w:tc>
        <w:tc>
          <w:tcPr>
            <w:tcW w:type="dxa" w:w="2232"/>
            <w:tcMar>
              <w:top w:w="65" w:type="dxa"/>
              <w:start w:w="65" w:type="dxa"/>
              <w:bottom w:w="65" w:type="dxa"/>
              <w:end w:w="65" w:type="dxa"/>
            </w:tcMar>
            <w:vAlign w:val="center"/>
            <w:shd w:fill="F4F7FA"/>
          </w:tcPr>
          <w:p>
            <w:pPr>
              <w:spacing w:after="0" w:line="235" w:lineRule="auto"/>
            </w:pPr>
            <w:r>
              <w:rPr>
                <w:sz w:val="13"/>
              </w:rPr>
              <w:t>Executive or board committee</w:t>
            </w:r>
          </w:p>
        </w:tc>
        <w:tc>
          <w:tcPr>
            <w:tcW w:type="dxa" w:w="3024"/>
            <w:tcMar>
              <w:top w:w="65" w:type="dxa"/>
              <w:start w:w="65" w:type="dxa"/>
              <w:bottom w:w="65" w:type="dxa"/>
              <w:end w:w="65" w:type="dxa"/>
            </w:tcMar>
            <w:vAlign w:val="center"/>
            <w:shd w:fill="F4F7FA"/>
          </w:tcPr>
          <w:p>
            <w:pPr>
              <w:spacing w:after="0" w:line="235" w:lineRule="auto"/>
            </w:pPr>
            <w:r>
              <w:rPr>
                <w:sz w:val="13"/>
              </w:rPr>
              <w:t>Independent review and reporting assessment.</w:t>
            </w:r>
          </w:p>
        </w:tc>
      </w:tr>
      <w:tr>
        <w:trPr>
          <w:cantSplit/>
        </w:trPr>
        <w:tc>
          <w:tcPr>
            <w:tcW w:type="dxa" w:w="2592"/>
            <w:tcMar>
              <w:top w:w="65" w:type="dxa"/>
              <w:start w:w="65" w:type="dxa"/>
              <w:bottom w:w="65" w:type="dxa"/>
              <w:end w:w="65" w:type="dxa"/>
            </w:tcMar>
            <w:vAlign w:val="center"/>
          </w:tcPr>
          <w:p>
            <w:pPr>
              <w:spacing w:after="0" w:line="235" w:lineRule="auto"/>
            </w:pPr>
            <w:r>
              <w:rPr>
                <w:sz w:val="13"/>
              </w:rPr>
              <w:t>Senior-management involvement</w:t>
            </w:r>
          </w:p>
        </w:tc>
        <w:tc>
          <w:tcPr>
            <w:tcW w:type="dxa" w:w="1944"/>
            <w:tcMar>
              <w:top w:w="65" w:type="dxa"/>
              <w:start w:w="65" w:type="dxa"/>
              <w:bottom w:w="65" w:type="dxa"/>
              <w:end w:w="65" w:type="dxa"/>
            </w:tcMar>
            <w:vAlign w:val="center"/>
          </w:tcPr>
          <w:p>
            <w:pPr>
              <w:spacing w:after="0" w:line="235" w:lineRule="auto"/>
            </w:pPr>
            <w:r>
              <w:rPr>
                <w:sz w:val="13"/>
              </w:rPr>
              <w:t>Independent authority</w:t>
            </w:r>
          </w:p>
        </w:tc>
        <w:tc>
          <w:tcPr>
            <w:tcW w:type="dxa" w:w="2232"/>
            <w:tcMar>
              <w:top w:w="65" w:type="dxa"/>
              <w:start w:w="65" w:type="dxa"/>
              <w:bottom w:w="65" w:type="dxa"/>
              <w:end w:w="65" w:type="dxa"/>
            </w:tcMar>
            <w:vAlign w:val="center"/>
          </w:tcPr>
          <w:p>
            <w:pPr>
              <w:spacing w:after="0" w:line="235" w:lineRule="auto"/>
            </w:pPr>
            <w:r>
              <w:rPr>
                <w:sz w:val="13"/>
              </w:rPr>
              <w:t>Board or designated committee</w:t>
            </w:r>
          </w:p>
        </w:tc>
        <w:tc>
          <w:tcPr>
            <w:tcW w:type="dxa" w:w="3024"/>
            <w:tcMar>
              <w:top w:w="65" w:type="dxa"/>
              <w:start w:w="65" w:type="dxa"/>
              <w:bottom w:w="65" w:type="dxa"/>
              <w:end w:w="65" w:type="dxa"/>
            </w:tcMar>
            <w:vAlign w:val="center"/>
          </w:tcPr>
          <w:p>
            <w:pPr>
              <w:spacing w:after="0" w:line="235" w:lineRule="auto"/>
            </w:pPr>
            <w:r>
              <w:rPr>
                <w:sz w:val="13"/>
              </w:rPr>
              <w:t>Protect independence and restrict access.</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3"/>
              </w:rPr>
              <w:t>Retaliation or intimidation</w:t>
            </w:r>
          </w:p>
        </w:tc>
        <w:tc>
          <w:tcPr>
            <w:tcW w:type="dxa" w:w="1944"/>
            <w:tcMar>
              <w:top w:w="65" w:type="dxa"/>
              <w:start w:w="65" w:type="dxa"/>
              <w:bottom w:w="65" w:type="dxa"/>
              <w:end w:w="65" w:type="dxa"/>
            </w:tcMar>
            <w:vAlign w:val="center"/>
            <w:shd w:fill="F4F7FA"/>
          </w:tcPr>
          <w:p>
            <w:pPr>
              <w:spacing w:after="0" w:line="235" w:lineRule="auto"/>
            </w:pPr>
            <w:r>
              <w:rPr>
                <w:sz w:val="13"/>
              </w:rPr>
              <w:t>HR, legal or compliance</w:t>
            </w:r>
          </w:p>
        </w:tc>
        <w:tc>
          <w:tcPr>
            <w:tcW w:type="dxa" w:w="2232"/>
            <w:tcMar>
              <w:top w:w="65" w:type="dxa"/>
              <w:start w:w="65" w:type="dxa"/>
              <w:bottom w:w="65" w:type="dxa"/>
              <w:end w:w="65" w:type="dxa"/>
            </w:tcMar>
            <w:vAlign w:val="center"/>
            <w:shd w:fill="F4F7FA"/>
          </w:tcPr>
          <w:p>
            <w:pPr>
              <w:spacing w:after="0" w:line="235" w:lineRule="auto"/>
            </w:pPr>
            <w:r>
              <w:rPr>
                <w:sz w:val="13"/>
              </w:rPr>
              <w:t>Independent senior authority</w:t>
            </w:r>
          </w:p>
        </w:tc>
        <w:tc>
          <w:tcPr>
            <w:tcW w:type="dxa" w:w="3024"/>
            <w:tcMar>
              <w:top w:w="65" w:type="dxa"/>
              <w:start w:w="65" w:type="dxa"/>
              <w:bottom w:w="65" w:type="dxa"/>
              <w:end w:w="65" w:type="dxa"/>
            </w:tcMar>
            <w:vAlign w:val="center"/>
            <w:shd w:fill="F4F7FA"/>
          </w:tcPr>
          <w:p>
            <w:pPr>
              <w:spacing w:after="0" w:line="235" w:lineRule="auto"/>
            </w:pPr>
            <w:r>
              <w:rPr>
                <w:sz w:val="13"/>
              </w:rPr>
              <w:t>Protect person, investigate and monitor.</w:t>
            </w:r>
          </w:p>
        </w:tc>
      </w:tr>
      <w:tr>
        <w:trPr>
          <w:cantSplit/>
        </w:trPr>
        <w:tc>
          <w:tcPr>
            <w:tcW w:type="dxa" w:w="2592"/>
            <w:tcMar>
              <w:top w:w="65" w:type="dxa"/>
              <w:start w:w="65" w:type="dxa"/>
              <w:bottom w:w="65" w:type="dxa"/>
              <w:end w:w="65" w:type="dxa"/>
            </w:tcMar>
            <w:vAlign w:val="center"/>
          </w:tcPr>
          <w:p>
            <w:pPr>
              <w:spacing w:after="0" w:line="235" w:lineRule="auto"/>
            </w:pPr>
            <w:r>
              <w:rPr>
                <w:sz w:val="13"/>
              </w:rPr>
              <w:t>Immediate danger or safeguarding risk</w:t>
            </w:r>
          </w:p>
        </w:tc>
        <w:tc>
          <w:tcPr>
            <w:tcW w:type="dxa" w:w="1944"/>
            <w:tcMar>
              <w:top w:w="65" w:type="dxa"/>
              <w:start w:w="65" w:type="dxa"/>
              <w:bottom w:w="65" w:type="dxa"/>
              <w:end w:w="65" w:type="dxa"/>
            </w:tcMar>
            <w:vAlign w:val="center"/>
          </w:tcPr>
          <w:p>
            <w:pPr>
              <w:spacing w:after="0" w:line="235" w:lineRule="auto"/>
            </w:pPr>
            <w:r>
              <w:rPr>
                <w:sz w:val="13"/>
              </w:rPr>
              <w:t>Security or safeguarding</w:t>
            </w:r>
          </w:p>
        </w:tc>
        <w:tc>
          <w:tcPr>
            <w:tcW w:type="dxa" w:w="2232"/>
            <w:tcMar>
              <w:top w:w="65" w:type="dxa"/>
              <w:start w:w="65" w:type="dxa"/>
              <w:bottom w:w="65" w:type="dxa"/>
              <w:end w:w="65" w:type="dxa"/>
            </w:tcMar>
            <w:vAlign w:val="center"/>
          </w:tcPr>
          <w:p>
            <w:pPr>
              <w:spacing w:after="0" w:line="235" w:lineRule="auto"/>
            </w:pPr>
            <w:r>
              <w:rPr>
                <w:sz w:val="13"/>
              </w:rPr>
              <w:t>Emergency authority</w:t>
            </w:r>
          </w:p>
        </w:tc>
        <w:tc>
          <w:tcPr>
            <w:tcW w:type="dxa" w:w="3024"/>
            <w:tcMar>
              <w:top w:w="65" w:type="dxa"/>
              <w:start w:w="65" w:type="dxa"/>
              <w:bottom w:w="65" w:type="dxa"/>
              <w:end w:w="65" w:type="dxa"/>
            </w:tcMar>
            <w:vAlign w:val="center"/>
          </w:tcPr>
          <w:p>
            <w:pPr>
              <w:spacing w:after="0" w:line="235" w:lineRule="auto"/>
            </w:pPr>
            <w:r>
              <w:rPr>
                <w:sz w:val="13"/>
              </w:rPr>
              <w:t>Prioritise safety and mandatory response.</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3"/>
              </w:rPr>
              <w:t>Potential external reporting duty</w:t>
            </w:r>
          </w:p>
        </w:tc>
        <w:tc>
          <w:tcPr>
            <w:tcW w:type="dxa" w:w="1944"/>
            <w:tcMar>
              <w:top w:w="65" w:type="dxa"/>
              <w:start w:w="65" w:type="dxa"/>
              <w:bottom w:w="65" w:type="dxa"/>
              <w:end w:w="65" w:type="dxa"/>
            </w:tcMar>
            <w:vAlign w:val="center"/>
            <w:shd w:fill="F4F7FA"/>
          </w:tcPr>
          <w:p>
            <w:pPr>
              <w:spacing w:after="0" w:line="235" w:lineRule="auto"/>
            </w:pPr>
            <w:r>
              <w:rPr>
                <w:sz w:val="13"/>
              </w:rPr>
              <w:t>Legal and compliance</w:t>
            </w:r>
          </w:p>
        </w:tc>
        <w:tc>
          <w:tcPr>
            <w:tcW w:type="dxa" w:w="2232"/>
            <w:tcMar>
              <w:top w:w="65" w:type="dxa"/>
              <w:start w:w="65" w:type="dxa"/>
              <w:bottom w:w="65" w:type="dxa"/>
              <w:end w:w="65" w:type="dxa"/>
            </w:tcMar>
            <w:vAlign w:val="center"/>
            <w:shd w:fill="F4F7FA"/>
          </w:tcPr>
          <w:p>
            <w:pPr>
              <w:spacing w:after="0" w:line="235" w:lineRule="auto"/>
            </w:pPr>
            <w:r>
              <w:rPr>
                <w:sz w:val="13"/>
              </w:rPr>
              <w:t>Authorised decision-maker</w:t>
            </w:r>
          </w:p>
        </w:tc>
        <w:tc>
          <w:tcPr>
            <w:tcW w:type="dxa" w:w="3024"/>
            <w:tcMar>
              <w:top w:w="65" w:type="dxa"/>
              <w:start w:w="65" w:type="dxa"/>
              <w:bottom w:w="65" w:type="dxa"/>
              <w:end w:w="65" w:type="dxa"/>
            </w:tcMar>
            <w:vAlign w:val="center"/>
            <w:shd w:fill="F4F7FA"/>
          </w:tcPr>
          <w:p>
            <w:pPr>
              <w:spacing w:after="0" w:line="235" w:lineRule="auto"/>
            </w:pPr>
            <w:r>
              <w:rPr>
                <w:sz w:val="13"/>
              </w:rPr>
              <w:t>Assess deadline, privilege and notification.</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Critical escalation contacts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Board committee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Regulatory decision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A Decision Guide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4608"/>
            <w:shd w:fill="17365D"/>
            <w:tcMar>
              <w:top w:w="65" w:type="dxa"/>
              <w:start w:w="65" w:type="dxa"/>
              <w:bottom w:w="65" w:type="dxa"/>
              <w:end w:w="65" w:type="dxa"/>
            </w:tcMar>
            <w:vAlign w:val="center"/>
          </w:tcPr>
          <w:p>
            <w:r>
              <w:rPr>
                <w:b/>
                <w:color w:val="FFFFFF"/>
                <w:sz w:val="14"/>
              </w:rPr>
              <w:t>Question</w:t>
            </w:r>
          </w:p>
        </w:tc>
        <w:tc>
          <w:tcPr>
            <w:tcW w:type="dxa" w:w="2592"/>
            <w:shd w:fill="17365D"/>
            <w:tcMar>
              <w:top w:w="65" w:type="dxa"/>
              <w:start w:w="65" w:type="dxa"/>
              <w:bottom w:w="65" w:type="dxa"/>
              <w:end w:w="65" w:type="dxa"/>
            </w:tcMar>
            <w:vAlign w:val="center"/>
          </w:tcPr>
          <w:p>
            <w:r>
              <w:rPr>
                <w:b/>
                <w:color w:val="FFFFFF"/>
                <w:sz w:val="14"/>
              </w:rPr>
              <w:t>If yes</w:t>
            </w:r>
          </w:p>
        </w:tc>
        <w:tc>
          <w:tcPr>
            <w:tcW w:type="dxa" w:w="2592"/>
            <w:shd w:fill="17365D"/>
            <w:tcMar>
              <w:top w:w="65" w:type="dxa"/>
              <w:start w:w="65" w:type="dxa"/>
              <w:bottom w:w="65" w:type="dxa"/>
              <w:end w:w="65" w:type="dxa"/>
            </w:tcMar>
            <w:vAlign w:val="center"/>
          </w:tcPr>
          <w:p>
            <w:r>
              <w:rPr>
                <w:b/>
                <w:color w:val="FFFFFF"/>
                <w:sz w:val="14"/>
              </w:rPr>
              <w:t>If no or uncertain</w:t>
            </w:r>
          </w:p>
        </w:tc>
      </w:tr>
      <w:tr>
        <w:trPr>
          <w:cantSplit/>
        </w:trPr>
        <w:tc>
          <w:tcPr>
            <w:tcW w:type="dxa" w:w="4608"/>
            <w:tcMar>
              <w:top w:w="65" w:type="dxa"/>
              <w:start w:w="65" w:type="dxa"/>
              <w:bottom w:w="65" w:type="dxa"/>
              <w:end w:w="65" w:type="dxa"/>
            </w:tcMar>
            <w:vAlign w:val="center"/>
          </w:tcPr>
          <w:p>
            <w:pPr>
              <w:spacing w:after="0" w:line="235" w:lineRule="auto"/>
            </w:pPr>
            <w:r>
              <w:rPr>
                <w:sz w:val="14"/>
              </w:rPr>
              <w:t>Could the benefit influence or appear to influence a decision?</w:t>
            </w:r>
          </w:p>
        </w:tc>
        <w:tc>
          <w:tcPr>
            <w:tcW w:type="dxa" w:w="2592"/>
            <w:tcMar>
              <w:top w:w="65" w:type="dxa"/>
              <w:start w:w="65" w:type="dxa"/>
              <w:bottom w:w="65" w:type="dxa"/>
              <w:end w:w="65" w:type="dxa"/>
            </w:tcMar>
            <w:vAlign w:val="center"/>
          </w:tcPr>
          <w:p>
            <w:pPr>
              <w:spacing w:after="0" w:line="235" w:lineRule="auto"/>
            </w:pPr>
            <w:r>
              <w:rPr>
                <w:sz w:val="14"/>
              </w:rPr>
              <w:t>Do not proceed; decline or escalate.</w:t>
            </w:r>
          </w:p>
        </w:tc>
        <w:tc>
          <w:tcPr>
            <w:tcW w:type="dxa" w:w="2592"/>
            <w:tcMar>
              <w:top w:w="65" w:type="dxa"/>
              <w:start w:w="65" w:type="dxa"/>
              <w:bottom w:w="65" w:type="dxa"/>
              <w:end w:w="65" w:type="dxa"/>
            </w:tcMar>
            <w:vAlign w:val="center"/>
          </w:tcPr>
          <w:p>
            <w:pPr>
              <w:spacing w:after="0" w:line="235" w:lineRule="auto"/>
            </w:pPr>
            <w:r>
              <w:rPr>
                <w:sz w:val="14"/>
              </w:rPr>
              <w:t>Continue to the next question.</w:t>
            </w:r>
          </w:p>
        </w:tc>
      </w:tr>
      <w:tr>
        <w:trPr>
          <w:cantSplit/>
        </w:trPr>
        <w:tc>
          <w:tcPr>
            <w:tcW w:type="dxa" w:w="4608"/>
            <w:tcMar>
              <w:top w:w="65" w:type="dxa"/>
              <w:start w:w="65" w:type="dxa"/>
              <w:bottom w:w="65" w:type="dxa"/>
              <w:end w:w="65" w:type="dxa"/>
            </w:tcMar>
            <w:vAlign w:val="center"/>
            <w:shd w:fill="F4F7FA"/>
          </w:tcPr>
          <w:p>
            <w:pPr>
              <w:spacing w:after="0" w:line="235" w:lineRule="auto"/>
            </w:pPr>
            <w:r>
              <w:rPr>
                <w:sz w:val="14"/>
              </w:rPr>
              <w:t>Is a public official, state-owned entity or official’s relative involved?</w:t>
            </w:r>
          </w:p>
        </w:tc>
        <w:tc>
          <w:tcPr>
            <w:tcW w:type="dxa" w:w="2592"/>
            <w:tcMar>
              <w:top w:w="65" w:type="dxa"/>
              <w:start w:w="65" w:type="dxa"/>
              <w:bottom w:w="65" w:type="dxa"/>
              <w:end w:w="65" w:type="dxa"/>
            </w:tcMar>
            <w:vAlign w:val="center"/>
            <w:shd w:fill="F4F7FA"/>
          </w:tcPr>
          <w:p>
            <w:pPr>
              <w:spacing w:after="0" w:line="235" w:lineRule="auto"/>
            </w:pPr>
            <w:r>
              <w:rPr>
                <w:sz w:val="14"/>
              </w:rPr>
              <w:t>Apply enhanced rules and advance approval.</w:t>
            </w:r>
          </w:p>
        </w:tc>
        <w:tc>
          <w:tcPr>
            <w:tcW w:type="dxa" w:w="2592"/>
            <w:tcMar>
              <w:top w:w="65" w:type="dxa"/>
              <w:start w:w="65" w:type="dxa"/>
              <w:bottom w:w="65" w:type="dxa"/>
              <w:end w:w="65" w:type="dxa"/>
            </w:tcMar>
            <w:vAlign w:val="center"/>
            <w:shd w:fill="F4F7FA"/>
          </w:tcPr>
          <w:p>
            <w:pPr>
              <w:spacing w:after="0" w:line="235" w:lineRule="auto"/>
            </w:pPr>
            <w:r>
              <w:rPr>
                <w:sz w:val="14"/>
              </w:rPr>
              <w:t>Apply ordinary risk-based controls.</w:t>
            </w:r>
          </w:p>
        </w:tc>
      </w:tr>
      <w:tr>
        <w:trPr>
          <w:cantSplit/>
        </w:trPr>
        <w:tc>
          <w:tcPr>
            <w:tcW w:type="dxa" w:w="4608"/>
            <w:tcMar>
              <w:top w:w="65" w:type="dxa"/>
              <w:start w:w="65" w:type="dxa"/>
              <w:bottom w:w="65" w:type="dxa"/>
              <w:end w:w="65" w:type="dxa"/>
            </w:tcMar>
            <w:vAlign w:val="center"/>
          </w:tcPr>
          <w:p>
            <w:pPr>
              <w:spacing w:after="0" w:line="235" w:lineRule="auto"/>
            </w:pPr>
            <w:r>
              <w:rPr>
                <w:sz w:val="14"/>
              </w:rPr>
              <w:t>Is it cash, cash equivalent or a personal payment?</w:t>
            </w:r>
          </w:p>
        </w:tc>
        <w:tc>
          <w:tcPr>
            <w:tcW w:type="dxa" w:w="2592"/>
            <w:tcMar>
              <w:top w:w="65" w:type="dxa"/>
              <w:start w:w="65" w:type="dxa"/>
              <w:bottom w:w="65" w:type="dxa"/>
              <w:end w:w="65" w:type="dxa"/>
            </w:tcMar>
            <w:vAlign w:val="center"/>
          </w:tcPr>
          <w:p>
            <w:pPr>
              <w:spacing w:after="0" w:line="235" w:lineRule="auto"/>
            </w:pPr>
            <w:r>
              <w:rPr>
                <w:sz w:val="14"/>
              </w:rPr>
              <w:t>Prohibited unless an official documented fee through an approved route.</w:t>
            </w:r>
          </w:p>
        </w:tc>
        <w:tc>
          <w:tcPr>
            <w:tcW w:type="dxa" w:w="2592"/>
            <w:tcMar>
              <w:top w:w="65" w:type="dxa"/>
              <w:start w:w="65" w:type="dxa"/>
              <w:bottom w:w="65" w:type="dxa"/>
              <w:end w:w="65" w:type="dxa"/>
            </w:tcMar>
            <w:vAlign w:val="center"/>
          </w:tcPr>
          <w:p>
            <w:pPr>
              <w:spacing w:after="0" w:line="235" w:lineRule="auto"/>
            </w:pPr>
            <w:r>
              <w:rPr>
                <w:sz w:val="14"/>
              </w:rPr>
              <w:t>Continue.</w:t>
            </w:r>
          </w:p>
        </w:tc>
      </w:tr>
      <w:tr>
        <w:trPr>
          <w:cantSplit/>
        </w:trPr>
        <w:tc>
          <w:tcPr>
            <w:tcW w:type="dxa" w:w="4608"/>
            <w:tcMar>
              <w:top w:w="65" w:type="dxa"/>
              <w:start w:w="65" w:type="dxa"/>
              <w:bottom w:w="65" w:type="dxa"/>
              <w:end w:w="65" w:type="dxa"/>
            </w:tcMar>
            <w:vAlign w:val="center"/>
            <w:shd w:fill="F4F7FA"/>
          </w:tcPr>
          <w:p>
            <w:pPr>
              <w:spacing w:after="0" w:line="235" w:lineRule="auto"/>
            </w:pPr>
            <w:r>
              <w:rPr>
                <w:sz w:val="14"/>
              </w:rPr>
              <w:t>Is there a legitimate documented business purpose?</w:t>
            </w:r>
          </w:p>
        </w:tc>
        <w:tc>
          <w:tcPr>
            <w:tcW w:type="dxa" w:w="2592"/>
            <w:tcMar>
              <w:top w:w="65" w:type="dxa"/>
              <w:start w:w="65" w:type="dxa"/>
              <w:bottom w:w="65" w:type="dxa"/>
              <w:end w:w="65" w:type="dxa"/>
            </w:tcMar>
            <w:vAlign w:val="center"/>
            <w:shd w:fill="F4F7FA"/>
          </w:tcPr>
          <w:p>
            <w:pPr>
              <w:spacing w:after="0" w:line="235" w:lineRule="auto"/>
            </w:pPr>
            <w:r>
              <w:rPr>
                <w:sz w:val="14"/>
              </w:rPr>
              <w:t>Confirm proportionality and approvals.</w:t>
            </w:r>
          </w:p>
        </w:tc>
        <w:tc>
          <w:tcPr>
            <w:tcW w:type="dxa" w:w="2592"/>
            <w:tcMar>
              <w:top w:w="65" w:type="dxa"/>
              <w:start w:w="65" w:type="dxa"/>
              <w:bottom w:w="65" w:type="dxa"/>
              <w:end w:w="65" w:type="dxa"/>
            </w:tcMar>
            <w:vAlign w:val="center"/>
            <w:shd w:fill="F4F7FA"/>
          </w:tcPr>
          <w:p>
            <w:pPr>
              <w:spacing w:after="0" w:line="235" w:lineRule="auto"/>
            </w:pPr>
            <w:r>
              <w:rPr>
                <w:sz w:val="14"/>
              </w:rPr>
              <w:t>Do not proceed.</w:t>
            </w:r>
          </w:p>
        </w:tc>
      </w:tr>
      <w:tr>
        <w:trPr>
          <w:cantSplit/>
        </w:trPr>
        <w:tc>
          <w:tcPr>
            <w:tcW w:type="dxa" w:w="4608"/>
            <w:tcMar>
              <w:top w:w="65" w:type="dxa"/>
              <w:start w:w="65" w:type="dxa"/>
              <w:bottom w:w="65" w:type="dxa"/>
              <w:end w:w="65" w:type="dxa"/>
            </w:tcMar>
            <w:vAlign w:val="center"/>
          </w:tcPr>
          <w:p>
            <w:pPr>
              <w:spacing w:after="0" w:line="235" w:lineRule="auto"/>
            </w:pPr>
            <w:r>
              <w:rPr>
                <w:sz w:val="14"/>
              </w:rPr>
              <w:t>Would it be acceptable if publicly disclosed?</w:t>
            </w:r>
          </w:p>
        </w:tc>
        <w:tc>
          <w:tcPr>
            <w:tcW w:type="dxa" w:w="2592"/>
            <w:tcMar>
              <w:top w:w="65" w:type="dxa"/>
              <w:start w:w="65" w:type="dxa"/>
              <w:bottom w:w="65" w:type="dxa"/>
              <w:end w:w="65" w:type="dxa"/>
            </w:tcMar>
            <w:vAlign w:val="center"/>
          </w:tcPr>
          <w:p>
            <w:pPr>
              <w:spacing w:after="0" w:line="235" w:lineRule="auto"/>
            </w:pPr>
            <w:r>
              <w:rPr>
                <w:sz w:val="14"/>
              </w:rPr>
              <w:t>Continue subject to all other rules.</w:t>
            </w:r>
          </w:p>
        </w:tc>
        <w:tc>
          <w:tcPr>
            <w:tcW w:type="dxa" w:w="2592"/>
            <w:tcMar>
              <w:top w:w="65" w:type="dxa"/>
              <w:start w:w="65" w:type="dxa"/>
              <w:bottom w:w="65" w:type="dxa"/>
              <w:end w:w="65" w:type="dxa"/>
            </w:tcMar>
            <w:vAlign w:val="center"/>
          </w:tcPr>
          <w:p>
            <w:pPr>
              <w:spacing w:after="0" w:line="235" w:lineRule="auto"/>
            </w:pPr>
            <w:r>
              <w:rPr>
                <w:sz w:val="14"/>
              </w:rPr>
              <w:t>Do not proceed or seek advice.</w:t>
            </w:r>
          </w:p>
        </w:tc>
      </w:tr>
      <w:tr>
        <w:trPr>
          <w:cantSplit/>
        </w:trPr>
        <w:tc>
          <w:tcPr>
            <w:tcW w:type="dxa" w:w="4608"/>
            <w:tcMar>
              <w:top w:w="65" w:type="dxa"/>
              <w:start w:w="65" w:type="dxa"/>
              <w:bottom w:w="65" w:type="dxa"/>
              <w:end w:w="65" w:type="dxa"/>
            </w:tcMar>
            <w:vAlign w:val="center"/>
            <w:shd w:fill="F4F7FA"/>
          </w:tcPr>
          <w:p>
            <w:pPr>
              <w:spacing w:after="0" w:line="235" w:lineRule="auto"/>
            </w:pPr>
            <w:r>
              <w:rPr>
                <w:sz w:val="14"/>
              </w:rPr>
              <w:t>Are value, frequency, timing or recipient sensitive?</w:t>
            </w:r>
          </w:p>
        </w:tc>
        <w:tc>
          <w:tcPr>
            <w:tcW w:type="dxa" w:w="2592"/>
            <w:tcMar>
              <w:top w:w="65" w:type="dxa"/>
              <w:start w:w="65" w:type="dxa"/>
              <w:bottom w:w="65" w:type="dxa"/>
              <w:end w:w="65" w:type="dxa"/>
            </w:tcMar>
            <w:vAlign w:val="center"/>
            <w:shd w:fill="F4F7FA"/>
          </w:tcPr>
          <w:p>
            <w:pPr>
              <w:spacing w:after="0" w:line="235" w:lineRule="auto"/>
            </w:pPr>
            <w:r>
              <w:rPr>
                <w:sz w:val="14"/>
              </w:rPr>
              <w:t>Escalate for enhanced review.</w:t>
            </w:r>
          </w:p>
        </w:tc>
        <w:tc>
          <w:tcPr>
            <w:tcW w:type="dxa" w:w="2592"/>
            <w:tcMar>
              <w:top w:w="65" w:type="dxa"/>
              <w:start w:w="65" w:type="dxa"/>
              <w:bottom w:w="65" w:type="dxa"/>
              <w:end w:w="65" w:type="dxa"/>
            </w:tcMar>
            <w:vAlign w:val="center"/>
            <w:shd w:fill="F4F7FA"/>
          </w:tcPr>
          <w:p>
            <w:pPr>
              <w:spacing w:after="0" w:line="235" w:lineRule="auto"/>
            </w:pPr>
            <w:r>
              <w:rPr>
                <w:sz w:val="14"/>
              </w:rPr>
              <w:t>Record and follow the normal process.</w:t>
            </w:r>
          </w:p>
        </w:tc>
      </w:tr>
      <w:tr>
        <w:trPr>
          <w:cantSplit/>
        </w:trPr>
        <w:tc>
          <w:tcPr>
            <w:tcW w:type="dxa" w:w="4608"/>
            <w:tcMar>
              <w:top w:w="65" w:type="dxa"/>
              <w:start w:w="65" w:type="dxa"/>
              <w:bottom w:w="65" w:type="dxa"/>
              <w:end w:w="65" w:type="dxa"/>
            </w:tcMar>
            <w:vAlign w:val="center"/>
          </w:tcPr>
          <w:p>
            <w:pPr>
              <w:spacing w:after="0" w:line="235" w:lineRule="auto"/>
            </w:pPr>
            <w:r>
              <w:rPr>
                <w:sz w:val="14"/>
              </w:rPr>
              <w:t>Is any information false, vague or concealed?</w:t>
            </w:r>
          </w:p>
        </w:tc>
        <w:tc>
          <w:tcPr>
            <w:tcW w:type="dxa" w:w="2592"/>
            <w:tcMar>
              <w:top w:w="65" w:type="dxa"/>
              <w:start w:w="65" w:type="dxa"/>
              <w:bottom w:w="65" w:type="dxa"/>
              <w:end w:w="65" w:type="dxa"/>
            </w:tcMar>
            <w:vAlign w:val="center"/>
          </w:tcPr>
          <w:p>
            <w:pPr>
              <w:spacing w:after="0" w:line="235" w:lineRule="auto"/>
            </w:pPr>
            <w:r>
              <w:rPr>
                <w:sz w:val="14"/>
              </w:rPr>
              <w:t>Stop and report the concern.</w:t>
            </w:r>
          </w:p>
        </w:tc>
        <w:tc>
          <w:tcPr>
            <w:tcW w:type="dxa" w:w="2592"/>
            <w:tcMar>
              <w:top w:w="65" w:type="dxa"/>
              <w:start w:w="65" w:type="dxa"/>
              <w:bottom w:w="65" w:type="dxa"/>
              <w:end w:w="65" w:type="dxa"/>
            </w:tcMar>
            <w:vAlign w:val="center"/>
          </w:tcPr>
          <w:p>
            <w:pPr>
              <w:spacing w:after="0" w:line="235" w:lineRule="auto"/>
            </w:pPr>
            <w:r>
              <w:rPr>
                <w:sz w:val="14"/>
              </w:rPr>
              <w:t>Complete accurate records.</w:t>
            </w:r>
          </w:p>
        </w:tc>
      </w:tr>
      <w:tr>
        <w:trPr>
          <w:cantSplit/>
        </w:trPr>
        <w:tc>
          <w:tcPr>
            <w:tcW w:type="dxa" w:w="4608"/>
            <w:tcMar>
              <w:top w:w="65" w:type="dxa"/>
              <w:start w:w="65" w:type="dxa"/>
              <w:bottom w:w="65" w:type="dxa"/>
              <w:end w:w="65" w:type="dxa"/>
            </w:tcMar>
            <w:vAlign w:val="center"/>
            <w:shd w:fill="F4F7FA"/>
          </w:tcPr>
          <w:p>
            <w:pPr>
              <w:spacing w:after="0" w:line="235" w:lineRule="auto"/>
            </w:pPr>
            <w:r>
              <w:rPr>
                <w:sz w:val="14"/>
              </w:rPr>
              <w:t>Has every red flag been resolved with evidence?</w:t>
            </w:r>
          </w:p>
        </w:tc>
        <w:tc>
          <w:tcPr>
            <w:tcW w:type="dxa" w:w="2592"/>
            <w:tcMar>
              <w:top w:w="65" w:type="dxa"/>
              <w:start w:w="65" w:type="dxa"/>
              <w:bottom w:w="65" w:type="dxa"/>
              <w:end w:w="65" w:type="dxa"/>
            </w:tcMar>
            <w:vAlign w:val="center"/>
            <w:shd w:fill="F4F7FA"/>
          </w:tcPr>
          <w:p>
            <w:pPr>
              <w:spacing w:after="0" w:line="235" w:lineRule="auto"/>
            </w:pPr>
            <w:r>
              <w:rPr>
                <w:sz w:val="14"/>
              </w:rPr>
              <w:t>Proceed only after required approval.</w:t>
            </w:r>
          </w:p>
        </w:tc>
        <w:tc>
          <w:tcPr>
            <w:tcW w:type="dxa" w:w="2592"/>
            <w:tcMar>
              <w:top w:w="65" w:type="dxa"/>
              <w:start w:w="65" w:type="dxa"/>
              <w:bottom w:w="65" w:type="dxa"/>
              <w:end w:w="65" w:type="dxa"/>
            </w:tcMar>
            <w:vAlign w:val="center"/>
            <w:shd w:fill="F4F7FA"/>
          </w:tcPr>
          <w:p>
            <w:pPr>
              <w:spacing w:after="0" w:line="235" w:lineRule="auto"/>
            </w:pPr>
            <w:r>
              <w:rPr>
                <w:sz w:val="14"/>
              </w:rPr>
              <w:t>Do not proceed.</w:t>
            </w:r>
          </w:p>
        </w:tc>
      </w:tr>
    </w:tbl>
    <w:p>
      <w:pPr>
        <w:spacing w:after="0"/>
      </w:pPr>
    </w:p>
    <w:p>
      <w:r>
        <w:t>This guide does not replace legal or compliance advice. When uncertainty remains, stop and ask before acting.</w:t>
      </w:r>
    </w:p>
    <w:p>
      <w:r>
        <w:br w:type="page"/>
      </w:r>
    </w:p>
    <w:p>
      <w:pPr>
        <w:pStyle w:val="Heading1"/>
      </w:pPr>
      <w:r>
        <w:t>Appendix B Approval and Register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944"/>
            <w:shd w:fill="17365D"/>
            <w:tcMar>
              <w:top w:w="65" w:type="dxa"/>
              <w:start w:w="65" w:type="dxa"/>
              <w:bottom w:w="65" w:type="dxa"/>
              <w:end w:w="65" w:type="dxa"/>
            </w:tcMar>
            <w:vAlign w:val="center"/>
          </w:tcPr>
          <w:p>
            <w:r>
              <w:rPr>
                <w:b/>
                <w:color w:val="FFFFFF"/>
                <w:sz w:val="13"/>
              </w:rPr>
              <w:t>Activity</w:t>
            </w:r>
          </w:p>
        </w:tc>
        <w:tc>
          <w:tcPr>
            <w:tcW w:type="dxa" w:w="1296"/>
            <w:shd w:fill="17365D"/>
            <w:tcMar>
              <w:top w:w="65" w:type="dxa"/>
              <w:start w:w="65" w:type="dxa"/>
              <w:bottom w:w="65" w:type="dxa"/>
              <w:end w:w="65" w:type="dxa"/>
            </w:tcMar>
            <w:vAlign w:val="center"/>
          </w:tcPr>
          <w:p>
            <w:r>
              <w:rPr>
                <w:b/>
                <w:color w:val="FFFFFF"/>
                <w:sz w:val="13"/>
              </w:rPr>
              <w:t>Pre approval</w:t>
            </w:r>
          </w:p>
        </w:tc>
        <w:tc>
          <w:tcPr>
            <w:tcW w:type="dxa" w:w="936"/>
            <w:shd w:fill="17365D"/>
            <w:tcMar>
              <w:top w:w="65" w:type="dxa"/>
              <w:start w:w="65" w:type="dxa"/>
              <w:bottom w:w="65" w:type="dxa"/>
              <w:end w:w="65" w:type="dxa"/>
            </w:tcMar>
            <w:vAlign w:val="center"/>
          </w:tcPr>
          <w:p>
            <w:r>
              <w:rPr>
                <w:b/>
                <w:color w:val="FFFFFF"/>
                <w:sz w:val="13"/>
              </w:rPr>
              <w:t>Register</w:t>
            </w:r>
          </w:p>
        </w:tc>
        <w:tc>
          <w:tcPr>
            <w:tcW w:type="dxa" w:w="2880"/>
            <w:shd w:fill="17365D"/>
            <w:tcMar>
              <w:top w:w="65" w:type="dxa"/>
              <w:start w:w="65" w:type="dxa"/>
              <w:bottom w:w="65" w:type="dxa"/>
              <w:end w:w="65" w:type="dxa"/>
            </w:tcMar>
            <w:vAlign w:val="center"/>
          </w:tcPr>
          <w:p>
            <w:r>
              <w:rPr>
                <w:b/>
                <w:color w:val="FFFFFF"/>
                <w:sz w:val="13"/>
              </w:rPr>
              <w:t>Enhanced review trigger</w:t>
            </w:r>
          </w:p>
        </w:tc>
        <w:tc>
          <w:tcPr>
            <w:tcW w:type="dxa" w:w="2736"/>
            <w:shd w:fill="17365D"/>
            <w:tcMar>
              <w:top w:w="65" w:type="dxa"/>
              <w:start w:w="65" w:type="dxa"/>
              <w:bottom w:w="65" w:type="dxa"/>
              <w:end w:w="65" w:type="dxa"/>
            </w:tcMar>
            <w:vAlign w:val="center"/>
          </w:tcPr>
          <w:p>
            <w:r>
              <w:rPr>
                <w:b/>
                <w:color w:val="FFFFFF"/>
                <w:sz w:val="13"/>
              </w:rPr>
              <w:t>Evidence</w:t>
            </w:r>
          </w:p>
        </w:tc>
      </w:tr>
      <w:tr>
        <w:trPr>
          <w:cantSplit/>
        </w:trPr>
        <w:tc>
          <w:tcPr>
            <w:tcW w:type="dxa" w:w="1944"/>
            <w:tcMar>
              <w:top w:w="65" w:type="dxa"/>
              <w:start w:w="65" w:type="dxa"/>
              <w:bottom w:w="65" w:type="dxa"/>
              <w:end w:w="65" w:type="dxa"/>
            </w:tcMar>
            <w:vAlign w:val="center"/>
          </w:tcPr>
          <w:p>
            <w:pPr>
              <w:spacing w:after="0" w:line="235" w:lineRule="auto"/>
            </w:pPr>
            <w:r>
              <w:rPr>
                <w:sz w:val="13"/>
              </w:rPr>
              <w:t>Gift or hospitality</w:t>
            </w:r>
          </w:p>
        </w:tc>
        <w:tc>
          <w:tcPr>
            <w:tcW w:type="dxa" w:w="1296"/>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t>Yes</w:t>
            </w:r>
          </w:p>
        </w:tc>
        <w:tc>
          <w:tcPr>
            <w:tcW w:type="dxa" w:w="2880"/>
            <w:tcMar>
              <w:top w:w="65" w:type="dxa"/>
              <w:start w:w="65" w:type="dxa"/>
              <w:bottom w:w="65" w:type="dxa"/>
              <w:end w:w="65" w:type="dxa"/>
            </w:tcMar>
            <w:vAlign w:val="center"/>
          </w:tcPr>
          <w:p>
            <w:pPr>
              <w:spacing w:after="0" w:line="235" w:lineRule="auto"/>
            </w:pPr>
            <w:r>
              <w:rPr>
                <w:sz w:val="13"/>
              </w:rPr>
              <w:t>Public official, sensitive timing, repeated or above threshold</w:t>
            </w:r>
          </w:p>
        </w:tc>
        <w:tc>
          <w:tcPr>
            <w:tcW w:type="dxa" w:w="2736"/>
            <w:tcMar>
              <w:top w:w="65" w:type="dxa"/>
              <w:start w:w="65" w:type="dxa"/>
              <w:bottom w:w="65" w:type="dxa"/>
              <w:end w:w="65" w:type="dxa"/>
            </w:tcMar>
            <w:vAlign w:val="center"/>
          </w:tcPr>
          <w:p>
            <w:pPr>
              <w:spacing w:after="0" w:line="235" w:lineRule="auto"/>
            </w:pPr>
            <w:r>
              <w:rPr>
                <w:sz w:val="13"/>
              </w:rPr>
              <w:t>Purpose, parties, value, approval and receipt.</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t>Travel or accommodation</w:t>
            </w:r>
          </w:p>
        </w:tc>
        <w:tc>
          <w:tcPr>
            <w:tcW w:type="dxa" w:w="1296"/>
            <w:tcMar>
              <w:top w:w="65" w:type="dxa"/>
              <w:start w:w="65" w:type="dxa"/>
              <w:bottom w:w="65" w:type="dxa"/>
              <w:end w:w="65" w:type="dxa"/>
            </w:tcMar>
            <w:vAlign w:val="center"/>
            <w:shd w:fill="F4F7FA"/>
          </w:tcPr>
          <w:p>
            <w:pPr>
              <w:spacing w:after="0" w:line="235" w:lineRule="auto"/>
            </w:pPr>
            <w:r>
              <w:rPr>
                <w:sz w:val="13"/>
              </w:rPr>
            </w:r>
          </w:p>
        </w:tc>
        <w:tc>
          <w:tcPr>
            <w:tcW w:type="dxa" w:w="936"/>
            <w:tcMar>
              <w:top w:w="65" w:type="dxa"/>
              <w:start w:w="65" w:type="dxa"/>
              <w:bottom w:w="65" w:type="dxa"/>
              <w:end w:w="65" w:type="dxa"/>
            </w:tcMar>
            <w:vAlign w:val="center"/>
            <w:shd w:fill="F4F7FA"/>
          </w:tcPr>
          <w:p>
            <w:pPr>
              <w:spacing w:after="0" w:line="235" w:lineRule="auto"/>
            </w:pPr>
            <w:r>
              <w:rPr>
                <w:sz w:val="13"/>
              </w:rPr>
              <w:t>Yes</w:t>
            </w:r>
          </w:p>
        </w:tc>
        <w:tc>
          <w:tcPr>
            <w:tcW w:type="dxa" w:w="2880"/>
            <w:tcMar>
              <w:top w:w="65" w:type="dxa"/>
              <w:start w:w="65" w:type="dxa"/>
              <w:bottom w:w="65" w:type="dxa"/>
              <w:end w:w="65" w:type="dxa"/>
            </w:tcMar>
            <w:vAlign w:val="center"/>
            <w:shd w:fill="F4F7FA"/>
          </w:tcPr>
          <w:p>
            <w:pPr>
              <w:spacing w:after="0" w:line="235" w:lineRule="auto"/>
            </w:pPr>
            <w:r>
              <w:rPr>
                <w:sz w:val="13"/>
              </w:rPr>
              <w:t>Public official, companion, leisure element or premium class</w:t>
            </w:r>
          </w:p>
        </w:tc>
        <w:tc>
          <w:tcPr>
            <w:tcW w:type="dxa" w:w="2736"/>
            <w:tcMar>
              <w:top w:w="65" w:type="dxa"/>
              <w:start w:w="65" w:type="dxa"/>
              <w:bottom w:w="65" w:type="dxa"/>
              <w:end w:w="65" w:type="dxa"/>
            </w:tcMar>
            <w:vAlign w:val="center"/>
            <w:shd w:fill="F4F7FA"/>
          </w:tcPr>
          <w:p>
            <w:pPr>
              <w:spacing w:after="0" w:line="235" w:lineRule="auto"/>
            </w:pPr>
            <w:r>
              <w:rPr>
                <w:sz w:val="13"/>
              </w:rPr>
              <w:t>Agenda, itinerary, costs and approval.</w:t>
            </w:r>
          </w:p>
        </w:tc>
      </w:tr>
      <w:tr>
        <w:trPr>
          <w:cantSplit/>
        </w:trPr>
        <w:tc>
          <w:tcPr>
            <w:tcW w:type="dxa" w:w="1944"/>
            <w:tcMar>
              <w:top w:w="65" w:type="dxa"/>
              <w:start w:w="65" w:type="dxa"/>
              <w:bottom w:w="65" w:type="dxa"/>
              <w:end w:w="65" w:type="dxa"/>
            </w:tcMar>
            <w:vAlign w:val="center"/>
          </w:tcPr>
          <w:p>
            <w:pPr>
              <w:spacing w:after="0" w:line="235" w:lineRule="auto"/>
            </w:pPr>
            <w:r>
              <w:rPr>
                <w:sz w:val="13"/>
              </w:rPr>
              <w:t>Donation or sponsorship</w:t>
            </w:r>
          </w:p>
        </w:tc>
        <w:tc>
          <w:tcPr>
            <w:tcW w:type="dxa" w:w="1296"/>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t>Yes</w:t>
            </w:r>
          </w:p>
        </w:tc>
        <w:tc>
          <w:tcPr>
            <w:tcW w:type="dxa" w:w="2880"/>
            <w:tcMar>
              <w:top w:w="65" w:type="dxa"/>
              <w:start w:w="65" w:type="dxa"/>
              <w:bottom w:w="65" w:type="dxa"/>
              <w:end w:w="65" w:type="dxa"/>
            </w:tcMar>
            <w:vAlign w:val="center"/>
          </w:tcPr>
          <w:p>
            <w:pPr>
              <w:spacing w:after="0" w:line="235" w:lineRule="auto"/>
            </w:pPr>
            <w:r>
              <w:rPr>
                <w:sz w:val="13"/>
              </w:rPr>
              <w:t>Official request, related party, new beneficiary or decision pending</w:t>
            </w:r>
          </w:p>
        </w:tc>
        <w:tc>
          <w:tcPr>
            <w:tcW w:type="dxa" w:w="2736"/>
            <w:tcMar>
              <w:top w:w="65" w:type="dxa"/>
              <w:start w:w="65" w:type="dxa"/>
              <w:bottom w:w="65" w:type="dxa"/>
              <w:end w:w="65" w:type="dxa"/>
            </w:tcMar>
            <w:vAlign w:val="center"/>
          </w:tcPr>
          <w:p>
            <w:pPr>
              <w:spacing w:after="0" w:line="235" w:lineRule="auto"/>
            </w:pPr>
            <w:r>
              <w:rPr>
                <w:sz w:val="13"/>
              </w:rPr>
              <w:t>Due diligence, agreement and use evidence.</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t>Political contribution</w:t>
            </w:r>
          </w:p>
        </w:tc>
        <w:tc>
          <w:tcPr>
            <w:tcW w:type="dxa" w:w="1296"/>
            <w:tcMar>
              <w:top w:w="65" w:type="dxa"/>
              <w:start w:w="65" w:type="dxa"/>
              <w:bottom w:w="65" w:type="dxa"/>
              <w:end w:w="65" w:type="dxa"/>
            </w:tcMar>
            <w:vAlign w:val="center"/>
            <w:shd w:fill="F4F7FA"/>
          </w:tcPr>
          <w:p>
            <w:pPr>
              <w:spacing w:after="0" w:line="235" w:lineRule="auto"/>
            </w:pPr>
            <w:r>
              <w:rPr>
                <w:sz w:val="13"/>
              </w:rPr>
              <w:t>Board if permitted</w:t>
            </w:r>
          </w:p>
        </w:tc>
        <w:tc>
          <w:tcPr>
            <w:tcW w:type="dxa" w:w="936"/>
            <w:tcMar>
              <w:top w:w="65" w:type="dxa"/>
              <w:start w:w="65" w:type="dxa"/>
              <w:bottom w:w="65" w:type="dxa"/>
              <w:end w:w="65" w:type="dxa"/>
            </w:tcMar>
            <w:vAlign w:val="center"/>
            <w:shd w:fill="F4F7FA"/>
          </w:tcPr>
          <w:p>
            <w:pPr>
              <w:spacing w:after="0" w:line="235" w:lineRule="auto"/>
            </w:pPr>
            <w:r>
              <w:rPr>
                <w:sz w:val="13"/>
              </w:rPr>
              <w:t>Yes</w:t>
            </w:r>
          </w:p>
        </w:tc>
        <w:tc>
          <w:tcPr>
            <w:tcW w:type="dxa" w:w="2880"/>
            <w:tcMar>
              <w:top w:w="65" w:type="dxa"/>
              <w:start w:w="65" w:type="dxa"/>
              <w:bottom w:w="65" w:type="dxa"/>
              <w:end w:w="65" w:type="dxa"/>
            </w:tcMar>
            <w:vAlign w:val="center"/>
            <w:shd w:fill="F4F7FA"/>
          </w:tcPr>
          <w:p>
            <w:pPr>
              <w:spacing w:after="0" w:line="235" w:lineRule="auto"/>
            </w:pPr>
            <w:r>
              <w:rPr>
                <w:sz w:val="13"/>
              </w:rPr>
              <w:t>Any organisational contribution</w:t>
            </w:r>
          </w:p>
        </w:tc>
        <w:tc>
          <w:tcPr>
            <w:tcW w:type="dxa" w:w="2736"/>
            <w:tcMar>
              <w:top w:w="65" w:type="dxa"/>
              <w:start w:w="65" w:type="dxa"/>
              <w:bottom w:w="65" w:type="dxa"/>
              <w:end w:w="65" w:type="dxa"/>
            </w:tcMar>
            <w:vAlign w:val="center"/>
            <w:shd w:fill="F4F7FA"/>
          </w:tcPr>
          <w:p>
            <w:pPr>
              <w:spacing w:after="0" w:line="235" w:lineRule="auto"/>
            </w:pPr>
            <w:r>
              <w:rPr>
                <w:sz w:val="13"/>
              </w:rPr>
              <w:t>Legal advice, approval and disclosure.</w:t>
            </w:r>
          </w:p>
        </w:tc>
      </w:tr>
      <w:tr>
        <w:trPr>
          <w:cantSplit/>
        </w:trPr>
        <w:tc>
          <w:tcPr>
            <w:tcW w:type="dxa" w:w="1944"/>
            <w:tcMar>
              <w:top w:w="65" w:type="dxa"/>
              <w:start w:w="65" w:type="dxa"/>
              <w:bottom w:w="65" w:type="dxa"/>
              <w:end w:w="65" w:type="dxa"/>
            </w:tcMar>
            <w:vAlign w:val="center"/>
          </w:tcPr>
          <w:p>
            <w:pPr>
              <w:spacing w:after="0" w:line="235" w:lineRule="auto"/>
            </w:pPr>
            <w:r>
              <w:rPr>
                <w:sz w:val="13"/>
              </w:rPr>
              <w:t>Third-party engagement</w:t>
            </w:r>
          </w:p>
        </w:tc>
        <w:tc>
          <w:tcPr>
            <w:tcW w:type="dxa" w:w="1296"/>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t>Yes</w:t>
            </w:r>
          </w:p>
        </w:tc>
        <w:tc>
          <w:tcPr>
            <w:tcW w:type="dxa" w:w="2880"/>
            <w:tcMar>
              <w:top w:w="65" w:type="dxa"/>
              <w:start w:w="65" w:type="dxa"/>
              <w:bottom w:w="65" w:type="dxa"/>
              <w:end w:w="65" w:type="dxa"/>
            </w:tcMar>
            <w:vAlign w:val="center"/>
          </w:tcPr>
          <w:p>
            <w:pPr>
              <w:spacing w:after="0" w:line="235" w:lineRule="auto"/>
            </w:pPr>
            <w:r>
              <w:rPr>
                <w:sz w:val="13"/>
              </w:rPr>
              <w:t>Government contact, commission, high-risk geography or red flag</w:t>
            </w:r>
          </w:p>
        </w:tc>
        <w:tc>
          <w:tcPr>
            <w:tcW w:type="dxa" w:w="2736"/>
            <w:tcMar>
              <w:top w:w="65" w:type="dxa"/>
              <w:start w:w="65" w:type="dxa"/>
              <w:bottom w:w="65" w:type="dxa"/>
              <w:end w:w="65" w:type="dxa"/>
            </w:tcMar>
            <w:vAlign w:val="center"/>
          </w:tcPr>
          <w:p>
            <w:pPr>
              <w:spacing w:after="0" w:line="235" w:lineRule="auto"/>
            </w:pPr>
            <w:r>
              <w:rPr>
                <w:sz w:val="13"/>
              </w:rPr>
              <w:t>Due diligence, contract and monitoring.</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t>Facilitation request</w:t>
            </w:r>
          </w:p>
        </w:tc>
        <w:tc>
          <w:tcPr>
            <w:tcW w:type="dxa" w:w="1296"/>
            <w:tcMar>
              <w:top w:w="65" w:type="dxa"/>
              <w:start w:w="65" w:type="dxa"/>
              <w:bottom w:w="65" w:type="dxa"/>
              <w:end w:w="65" w:type="dxa"/>
            </w:tcMar>
            <w:vAlign w:val="center"/>
            <w:shd w:fill="F4F7FA"/>
          </w:tcPr>
          <w:p>
            <w:pPr>
              <w:spacing w:after="0" w:line="235" w:lineRule="auto"/>
            </w:pPr>
            <w:r>
              <w:rPr>
                <w:sz w:val="13"/>
              </w:rPr>
              <w:t>Never approved</w:t>
            </w:r>
          </w:p>
        </w:tc>
        <w:tc>
          <w:tcPr>
            <w:tcW w:type="dxa" w:w="936"/>
            <w:tcMar>
              <w:top w:w="65" w:type="dxa"/>
              <w:start w:w="65" w:type="dxa"/>
              <w:bottom w:w="65" w:type="dxa"/>
              <w:end w:w="65" w:type="dxa"/>
            </w:tcMar>
            <w:vAlign w:val="center"/>
            <w:shd w:fill="F4F7FA"/>
          </w:tcPr>
          <w:p>
            <w:pPr>
              <w:spacing w:after="0" w:line="235" w:lineRule="auto"/>
            </w:pPr>
            <w:r>
              <w:rPr>
                <w:sz w:val="13"/>
              </w:rPr>
              <w:t>Incident log</w:t>
            </w:r>
          </w:p>
        </w:tc>
        <w:tc>
          <w:tcPr>
            <w:tcW w:type="dxa" w:w="2880"/>
            <w:tcMar>
              <w:top w:w="65" w:type="dxa"/>
              <w:start w:w="65" w:type="dxa"/>
              <w:bottom w:w="65" w:type="dxa"/>
              <w:end w:w="65" w:type="dxa"/>
            </w:tcMar>
            <w:vAlign w:val="center"/>
            <w:shd w:fill="F4F7FA"/>
          </w:tcPr>
          <w:p>
            <w:pPr>
              <w:spacing w:after="0" w:line="235" w:lineRule="auto"/>
            </w:pPr>
            <w:r>
              <w:rPr>
                <w:sz w:val="13"/>
              </w:rPr>
              <w:t>Any request</w:t>
            </w:r>
          </w:p>
        </w:tc>
        <w:tc>
          <w:tcPr>
            <w:tcW w:type="dxa" w:w="2736"/>
            <w:tcMar>
              <w:top w:w="65" w:type="dxa"/>
              <w:start w:w="65" w:type="dxa"/>
              <w:bottom w:w="65" w:type="dxa"/>
              <w:end w:w="65" w:type="dxa"/>
            </w:tcMar>
            <w:vAlign w:val="center"/>
            <w:shd w:fill="F4F7FA"/>
          </w:tcPr>
          <w:p>
            <w:pPr>
              <w:spacing w:after="0" w:line="235" w:lineRule="auto"/>
            </w:pPr>
            <w:r>
              <w:rPr>
                <w:sz w:val="13"/>
              </w:rPr>
              <w:t>Request details, response and report.</w:t>
            </w:r>
          </w:p>
        </w:tc>
      </w:tr>
      <w:tr>
        <w:trPr>
          <w:cantSplit/>
        </w:trPr>
        <w:tc>
          <w:tcPr>
            <w:tcW w:type="dxa" w:w="1944"/>
            <w:tcMar>
              <w:top w:w="65" w:type="dxa"/>
              <w:start w:w="65" w:type="dxa"/>
              <w:bottom w:w="65" w:type="dxa"/>
              <w:end w:w="65" w:type="dxa"/>
            </w:tcMar>
            <w:vAlign w:val="center"/>
          </w:tcPr>
          <w:p>
            <w:pPr>
              <w:spacing w:after="0" w:line="235" w:lineRule="auto"/>
            </w:pPr>
            <w:r>
              <w:rPr>
                <w:sz w:val="13"/>
              </w:rPr>
              <w:t>Conflict of interest</w:t>
            </w:r>
          </w:p>
        </w:tc>
        <w:tc>
          <w:tcPr>
            <w:tcW w:type="dxa" w:w="1296"/>
            <w:tcMar>
              <w:top w:w="65" w:type="dxa"/>
              <w:start w:w="65" w:type="dxa"/>
              <w:bottom w:w="65" w:type="dxa"/>
              <w:end w:w="65" w:type="dxa"/>
            </w:tcMar>
            <w:vAlign w:val="center"/>
          </w:tcPr>
          <w:p>
            <w:pPr>
              <w:spacing w:after="0" w:line="235" w:lineRule="auto"/>
            </w:pPr>
            <w:r>
              <w:rPr>
                <w:sz w:val="13"/>
              </w:rPr>
            </w:r>
          </w:p>
        </w:tc>
        <w:tc>
          <w:tcPr>
            <w:tcW w:type="dxa" w:w="936"/>
            <w:tcMar>
              <w:top w:w="65" w:type="dxa"/>
              <w:start w:w="65" w:type="dxa"/>
              <w:bottom w:w="65" w:type="dxa"/>
              <w:end w:w="65" w:type="dxa"/>
            </w:tcMar>
            <w:vAlign w:val="center"/>
          </w:tcPr>
          <w:p>
            <w:pPr>
              <w:spacing w:after="0" w:line="235" w:lineRule="auto"/>
            </w:pPr>
            <w:r>
              <w:rPr>
                <w:sz w:val="13"/>
              </w:rPr>
              <w:t>Yes</w:t>
            </w:r>
          </w:p>
        </w:tc>
        <w:tc>
          <w:tcPr>
            <w:tcW w:type="dxa" w:w="2880"/>
            <w:tcMar>
              <w:top w:w="65" w:type="dxa"/>
              <w:start w:w="65" w:type="dxa"/>
              <w:bottom w:w="65" w:type="dxa"/>
              <w:end w:w="65" w:type="dxa"/>
            </w:tcMar>
            <w:vAlign w:val="center"/>
          </w:tcPr>
          <w:p>
            <w:pPr>
              <w:spacing w:after="0" w:line="235" w:lineRule="auto"/>
            </w:pPr>
            <w:r>
              <w:rPr>
                <w:sz w:val="13"/>
              </w:rPr>
              <w:t>Decision authority, related party or financial interest</w:t>
            </w:r>
          </w:p>
        </w:tc>
        <w:tc>
          <w:tcPr>
            <w:tcW w:type="dxa" w:w="2736"/>
            <w:tcMar>
              <w:top w:w="65" w:type="dxa"/>
              <w:start w:w="65" w:type="dxa"/>
              <w:bottom w:w="65" w:type="dxa"/>
              <w:end w:w="65" w:type="dxa"/>
            </w:tcMar>
            <w:vAlign w:val="center"/>
          </w:tcPr>
          <w:p>
            <w:pPr>
              <w:spacing w:after="0" w:line="235" w:lineRule="auto"/>
            </w:pPr>
            <w:r>
              <w:rPr>
                <w:sz w:val="13"/>
              </w:rPr>
              <w:t>Declaration, assessment and safeguards.</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3"/>
              </w:rPr>
              <w:t>Policy exception</w:t>
            </w:r>
          </w:p>
        </w:tc>
        <w:tc>
          <w:tcPr>
            <w:tcW w:type="dxa" w:w="1296"/>
            <w:tcMar>
              <w:top w:w="65" w:type="dxa"/>
              <w:start w:w="65" w:type="dxa"/>
              <w:bottom w:w="65" w:type="dxa"/>
              <w:end w:w="65" w:type="dxa"/>
            </w:tcMar>
            <w:vAlign w:val="center"/>
            <w:shd w:fill="F4F7FA"/>
          </w:tcPr>
          <w:p>
            <w:pPr>
              <w:spacing w:after="0" w:line="235" w:lineRule="auto"/>
            </w:pPr>
            <w:r>
              <w:rPr>
                <w:sz w:val="13"/>
              </w:rPr>
            </w:r>
          </w:p>
        </w:tc>
        <w:tc>
          <w:tcPr>
            <w:tcW w:type="dxa" w:w="936"/>
            <w:tcMar>
              <w:top w:w="65" w:type="dxa"/>
              <w:start w:w="65" w:type="dxa"/>
              <w:bottom w:w="65" w:type="dxa"/>
              <w:end w:w="65" w:type="dxa"/>
            </w:tcMar>
            <w:vAlign w:val="center"/>
            <w:shd w:fill="F4F7FA"/>
          </w:tcPr>
          <w:p>
            <w:pPr>
              <w:spacing w:after="0" w:line="235" w:lineRule="auto"/>
            </w:pPr>
            <w:r>
              <w:rPr>
                <w:sz w:val="13"/>
              </w:rPr>
              <w:t>Yes</w:t>
            </w:r>
          </w:p>
        </w:tc>
        <w:tc>
          <w:tcPr>
            <w:tcW w:type="dxa" w:w="2880"/>
            <w:tcMar>
              <w:top w:w="65" w:type="dxa"/>
              <w:start w:w="65" w:type="dxa"/>
              <w:bottom w:w="65" w:type="dxa"/>
              <w:end w:w="65" w:type="dxa"/>
            </w:tcMar>
            <w:vAlign w:val="center"/>
            <w:shd w:fill="F4F7FA"/>
          </w:tcPr>
          <w:p>
            <w:pPr>
              <w:spacing w:after="0" w:line="235" w:lineRule="auto"/>
            </w:pPr>
            <w:r>
              <w:rPr>
                <w:sz w:val="13"/>
              </w:rPr>
              <w:t>Material risk, repeated request or public official</w:t>
            </w:r>
          </w:p>
        </w:tc>
        <w:tc>
          <w:tcPr>
            <w:tcW w:type="dxa" w:w="2736"/>
            <w:tcMar>
              <w:top w:w="65" w:type="dxa"/>
              <w:start w:w="65" w:type="dxa"/>
              <w:bottom w:w="65" w:type="dxa"/>
              <w:end w:w="65" w:type="dxa"/>
            </w:tcMar>
            <w:vAlign w:val="center"/>
            <w:shd w:fill="F4F7FA"/>
          </w:tcPr>
          <w:p>
            <w:pPr>
              <w:spacing w:after="0" w:line="235" w:lineRule="auto"/>
            </w:pPr>
            <w:r>
              <w:rPr>
                <w:sz w:val="13"/>
              </w:rPr>
              <w:t>Rationale, legal review, conditions and expiry.</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Insert thresholds and approvers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links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Local currency rule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Cumulative-value rule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C Third Party Red Flag Checklist</w:t>
      </w:r>
    </w:p>
    <w:p>
      <w:r>
        <w:t>☐ Unclear ownership, controller, address or business history.</w:t>
      </w:r>
    </w:p>
    <w:p>
      <w:r>
        <w:t>☐ Government official, customer or employee recommends the party without transparent rationale.</w:t>
      </w:r>
    </w:p>
    <w:p>
      <w:r>
        <w:t>☐ Party lacks qualifications, staff, facilities or relevant experience.</w:t>
      </w:r>
    </w:p>
    <w:p>
      <w:r>
        <w:t>☐ Excessive commission, success fee, bonus or vague scope.</w:t>
      </w:r>
    </w:p>
    <w:p>
      <w:r>
        <w:t>☐ Cash, advance, split, unrelated, personal or offshore payment request.</w:t>
      </w:r>
    </w:p>
    <w:p>
      <w:r>
        <w:t>☐ Refusal to disclose owners, complete due diligence or provide references.</w:t>
      </w:r>
    </w:p>
    <w:p>
      <w:r>
        <w:t>☐ Adverse information involving corruption, fraud, sanctions or misconduct.</w:t>
      </w:r>
    </w:p>
    <w:p>
      <w:r>
        <w:t>☐ Close relationship with an official or decision-maker.</w:t>
      </w:r>
    </w:p>
    <w:p>
      <w:r>
        <w:t>☐ Request for secrecy, false invoice, side letter or inaccurate description.</w:t>
      </w:r>
    </w:p>
    <w:p>
      <w:r>
        <w:t>☐ Use of unapproved subcontractor or intermediary.</w:t>
      </w:r>
    </w:p>
    <w:p>
      <w:r>
        <w:t>☐ Urgency begins only after due-diligence questions are raised.</w:t>
      </w:r>
    </w:p>
    <w:p>
      <w:r>
        <w:t>☐ Party promises special access, guaranteed approval or unusual speed.</w:t>
      </w:r>
    </w:p>
    <w:p>
      <w:r>
        <w:t>☐ Bank account, ownership or scope changes shortly before payment.</w:t>
      </w:r>
    </w:p>
    <w:p>
      <w:r>
        <w:t>☐ Donation, job, gift or hospitality request linked to engagement.</w:t>
      </w:r>
    </w:p>
    <w:p>
      <w:r>
        <w:t>☐ Unwillingness to accept compliance, audit, certification or termination terms.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088"/>
            <w:shd w:fill="17365D"/>
            <w:tcMar>
              <w:top w:w="65" w:type="dxa"/>
              <w:start w:w="65" w:type="dxa"/>
              <w:bottom w:w="65" w:type="dxa"/>
              <w:end w:w="65" w:type="dxa"/>
            </w:tcMar>
            <w:vAlign w:val="center"/>
          </w:tcPr>
          <w:p>
            <w:r>
              <w:rPr>
                <w:b/>
                <w:color w:val="FFFFFF"/>
                <w:sz w:val="13"/>
              </w:rPr>
              <w:t>Red flag</w:t>
            </w:r>
          </w:p>
        </w:tc>
        <w:tc>
          <w:tcPr>
            <w:tcW w:type="dxa" w:w="3672"/>
            <w:shd w:fill="17365D"/>
            <w:tcMar>
              <w:top w:w="65" w:type="dxa"/>
              <w:start w:w="65" w:type="dxa"/>
              <w:bottom w:w="65" w:type="dxa"/>
              <w:end w:w="65" w:type="dxa"/>
            </w:tcMar>
            <w:vAlign w:val="center"/>
          </w:tcPr>
          <w:p>
            <w:r>
              <w:rPr>
                <w:b/>
                <w:color w:val="FFFFFF"/>
                <w:sz w:val="13"/>
              </w:rPr>
              <w:t>Evidence or explanation</w:t>
            </w:r>
          </w:p>
        </w:tc>
        <w:tc>
          <w:tcPr>
            <w:tcW w:type="dxa" w:w="864"/>
            <w:shd w:fill="17365D"/>
            <w:tcMar>
              <w:top w:w="65" w:type="dxa"/>
              <w:start w:w="65" w:type="dxa"/>
              <w:bottom w:w="65" w:type="dxa"/>
              <w:end w:w="65" w:type="dxa"/>
            </w:tcMar>
            <w:vAlign w:val="center"/>
          </w:tcPr>
          <w:p>
            <w:r>
              <w:rPr>
                <w:b/>
                <w:color w:val="FFFFFF"/>
                <w:sz w:val="13"/>
              </w:rPr>
              <w:t>Resolved</w:t>
            </w:r>
          </w:p>
        </w:tc>
        <w:tc>
          <w:tcPr>
            <w:tcW w:type="dxa" w:w="1728"/>
            <w:shd w:fill="17365D"/>
            <w:tcMar>
              <w:top w:w="65" w:type="dxa"/>
              <w:start w:w="65" w:type="dxa"/>
              <w:bottom w:w="65" w:type="dxa"/>
              <w:end w:w="65" w:type="dxa"/>
            </w:tcMar>
            <w:vAlign w:val="center"/>
          </w:tcPr>
          <w:p>
            <w:r>
              <w:rPr>
                <w:b/>
                <w:color w:val="FFFFFF"/>
                <w:sz w:val="13"/>
              </w:rPr>
              <w:t>Decision</w:t>
            </w:r>
          </w:p>
        </w:tc>
        <w:tc>
          <w:tcPr>
            <w:tcW w:type="dxa" w:w="1440"/>
            <w:shd w:fill="17365D"/>
            <w:tcMar>
              <w:top w:w="65" w:type="dxa"/>
              <w:start w:w="65" w:type="dxa"/>
              <w:bottom w:w="65" w:type="dxa"/>
              <w:end w:w="65" w:type="dxa"/>
            </w:tcMar>
            <w:vAlign w:val="center"/>
          </w:tcPr>
          <w:p>
            <w:r>
              <w:rPr>
                <w:b/>
                <w:color w:val="FFFFFF"/>
                <w:sz w:val="13"/>
              </w:rPr>
              <w:t>Approver</w:t>
            </w:r>
          </w:p>
        </w:tc>
      </w:tr>
      <w:tr>
        <w:trPr>
          <w:cantSplit/>
        </w:trPr>
        <w:tc>
          <w:tcPr>
            <w:tcW w:type="dxa" w:w="2088"/>
            <w:tcMar>
              <w:top w:w="65" w:type="dxa"/>
              <w:start w:w="65" w:type="dxa"/>
              <w:bottom w:w="65" w:type="dxa"/>
              <w:end w:w="65" w:type="dxa"/>
            </w:tcMar>
            <w:vAlign w:val="center"/>
          </w:tcPr>
          <w:p>
            <w:pPr>
              <w:spacing w:after="0" w:line="235" w:lineRule="auto"/>
            </w:pPr>
            <w:r>
              <w:rPr>
                <w:sz w:val="13"/>
              </w:rPr>
            </w:r>
          </w:p>
        </w:tc>
        <w:tc>
          <w:tcPr>
            <w:tcW w:type="dxa" w:w="3672"/>
            <w:tcMar>
              <w:top w:w="65" w:type="dxa"/>
              <w:start w:w="65" w:type="dxa"/>
              <w:bottom w:w="65" w:type="dxa"/>
              <w:end w:w="65" w:type="dxa"/>
            </w:tcMar>
            <w:vAlign w:val="center"/>
          </w:tcPr>
          <w:p>
            <w:pPr>
              <w:spacing w:after="0" w:line="235" w:lineRule="auto"/>
            </w:pPr>
            <w:r>
              <w:rPr>
                <w:sz w:val="13"/>
              </w:rPr>
            </w:r>
          </w:p>
        </w:tc>
        <w:tc>
          <w:tcPr>
            <w:tcW w:type="dxa" w:w="864"/>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3"/>
              </w:rPr>
            </w:r>
          </w:p>
        </w:tc>
        <w:tc>
          <w:tcPr>
            <w:tcW w:type="dxa" w:w="3672"/>
            <w:tcMar>
              <w:top w:w="65" w:type="dxa"/>
              <w:start w:w="65" w:type="dxa"/>
              <w:bottom w:w="65" w:type="dxa"/>
              <w:end w:w="65" w:type="dxa"/>
            </w:tcMar>
            <w:vAlign w:val="center"/>
            <w:shd w:fill="F4F7FA"/>
          </w:tcPr>
          <w:p>
            <w:pPr>
              <w:spacing w:after="0" w:line="235" w:lineRule="auto"/>
            </w:pPr>
            <w:r>
              <w:rPr>
                <w:sz w:val="13"/>
              </w:rPr>
            </w:r>
          </w:p>
        </w:tc>
        <w:tc>
          <w:tcPr>
            <w:tcW w:type="dxa" w:w="864"/>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2088"/>
            <w:tcMar>
              <w:top w:w="65" w:type="dxa"/>
              <w:start w:w="65" w:type="dxa"/>
              <w:bottom w:w="65" w:type="dxa"/>
              <w:end w:w="65" w:type="dxa"/>
            </w:tcMar>
            <w:vAlign w:val="center"/>
          </w:tcPr>
          <w:p>
            <w:pPr>
              <w:spacing w:after="0" w:line="235" w:lineRule="auto"/>
            </w:pPr>
            <w:r>
              <w:rPr>
                <w:sz w:val="13"/>
              </w:rPr>
            </w:r>
          </w:p>
        </w:tc>
        <w:tc>
          <w:tcPr>
            <w:tcW w:type="dxa" w:w="3672"/>
            <w:tcMar>
              <w:top w:w="65" w:type="dxa"/>
              <w:start w:w="65" w:type="dxa"/>
              <w:bottom w:w="65" w:type="dxa"/>
              <w:end w:w="65" w:type="dxa"/>
            </w:tcMar>
            <w:vAlign w:val="center"/>
          </w:tcPr>
          <w:p>
            <w:pPr>
              <w:spacing w:after="0" w:line="235" w:lineRule="auto"/>
            </w:pPr>
            <w:r>
              <w:rPr>
                <w:sz w:val="13"/>
              </w:rPr>
            </w:r>
          </w:p>
        </w:tc>
        <w:tc>
          <w:tcPr>
            <w:tcW w:type="dxa" w:w="864"/>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3"/>
              </w:rPr>
            </w:r>
          </w:p>
        </w:tc>
        <w:tc>
          <w:tcPr>
            <w:tcW w:type="dxa" w:w="3672"/>
            <w:tcMar>
              <w:top w:w="65" w:type="dxa"/>
              <w:start w:w="65" w:type="dxa"/>
              <w:bottom w:w="65" w:type="dxa"/>
              <w:end w:w="65" w:type="dxa"/>
            </w:tcMar>
            <w:vAlign w:val="center"/>
            <w:shd w:fill="F4F7FA"/>
          </w:tcPr>
          <w:p>
            <w:pPr>
              <w:spacing w:after="0" w:line="235" w:lineRule="auto"/>
            </w:pPr>
            <w:r>
              <w:rPr>
                <w:sz w:val="13"/>
              </w:rPr>
            </w:r>
          </w:p>
        </w:tc>
        <w:tc>
          <w:tcPr>
            <w:tcW w:type="dxa" w:w="864"/>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2088"/>
            <w:tcMar>
              <w:top w:w="65" w:type="dxa"/>
              <w:start w:w="65" w:type="dxa"/>
              <w:bottom w:w="65" w:type="dxa"/>
              <w:end w:w="65" w:type="dxa"/>
            </w:tcMar>
            <w:vAlign w:val="center"/>
          </w:tcPr>
          <w:p>
            <w:pPr>
              <w:spacing w:after="0" w:line="235" w:lineRule="auto"/>
            </w:pPr>
            <w:r>
              <w:rPr>
                <w:sz w:val="13"/>
              </w:rPr>
            </w:r>
          </w:p>
        </w:tc>
        <w:tc>
          <w:tcPr>
            <w:tcW w:type="dxa" w:w="3672"/>
            <w:tcMar>
              <w:top w:w="65" w:type="dxa"/>
              <w:start w:w="65" w:type="dxa"/>
              <w:bottom w:w="65" w:type="dxa"/>
              <w:end w:w="65" w:type="dxa"/>
            </w:tcMar>
            <w:vAlign w:val="center"/>
          </w:tcPr>
          <w:p>
            <w:pPr>
              <w:spacing w:after="0" w:line="235" w:lineRule="auto"/>
            </w:pPr>
            <w:r>
              <w:rPr>
                <w:sz w:val="13"/>
              </w:rPr>
            </w:r>
          </w:p>
        </w:tc>
        <w:tc>
          <w:tcPr>
            <w:tcW w:type="dxa" w:w="864"/>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3"/>
              </w:rPr>
            </w:r>
          </w:p>
        </w:tc>
        <w:tc>
          <w:tcPr>
            <w:tcW w:type="dxa" w:w="3672"/>
            <w:tcMar>
              <w:top w:w="65" w:type="dxa"/>
              <w:start w:w="65" w:type="dxa"/>
              <w:bottom w:w="65" w:type="dxa"/>
              <w:end w:w="65" w:type="dxa"/>
            </w:tcMar>
            <w:vAlign w:val="center"/>
            <w:shd w:fill="F4F7FA"/>
          </w:tcPr>
          <w:p>
            <w:pPr>
              <w:spacing w:after="0" w:line="235" w:lineRule="auto"/>
            </w:pPr>
            <w:r>
              <w:rPr>
                <w:sz w:val="13"/>
              </w:rPr>
            </w:r>
          </w:p>
        </w:tc>
        <w:tc>
          <w:tcPr>
            <w:tcW w:type="dxa" w:w="864"/>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2088"/>
            <w:tcMar>
              <w:top w:w="65" w:type="dxa"/>
              <w:start w:w="65" w:type="dxa"/>
              <w:bottom w:w="65" w:type="dxa"/>
              <w:end w:w="65" w:type="dxa"/>
            </w:tcMar>
            <w:vAlign w:val="center"/>
          </w:tcPr>
          <w:p>
            <w:pPr>
              <w:spacing w:after="0" w:line="235" w:lineRule="auto"/>
            </w:pPr>
            <w:r>
              <w:rPr>
                <w:sz w:val="13"/>
              </w:rPr>
            </w:r>
          </w:p>
        </w:tc>
        <w:tc>
          <w:tcPr>
            <w:tcW w:type="dxa" w:w="3672"/>
            <w:tcMar>
              <w:top w:w="65" w:type="dxa"/>
              <w:start w:w="65" w:type="dxa"/>
              <w:bottom w:w="65" w:type="dxa"/>
              <w:end w:w="65" w:type="dxa"/>
            </w:tcMar>
            <w:vAlign w:val="center"/>
          </w:tcPr>
          <w:p>
            <w:pPr>
              <w:spacing w:after="0" w:line="235" w:lineRule="auto"/>
            </w:pPr>
            <w:r>
              <w:rPr>
                <w:sz w:val="13"/>
              </w:rPr>
            </w:r>
          </w:p>
        </w:tc>
        <w:tc>
          <w:tcPr>
            <w:tcW w:type="dxa" w:w="864"/>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3"/>
              </w:rPr>
            </w:r>
          </w:p>
        </w:tc>
        <w:tc>
          <w:tcPr>
            <w:tcW w:type="dxa" w:w="3672"/>
            <w:tcMar>
              <w:top w:w="65" w:type="dxa"/>
              <w:start w:w="65" w:type="dxa"/>
              <w:bottom w:w="65" w:type="dxa"/>
              <w:end w:w="65" w:type="dxa"/>
            </w:tcMar>
            <w:vAlign w:val="center"/>
            <w:shd w:fill="F4F7FA"/>
          </w:tcPr>
          <w:p>
            <w:pPr>
              <w:spacing w:after="0" w:line="235" w:lineRule="auto"/>
            </w:pPr>
            <w:r>
              <w:rPr>
                <w:sz w:val="13"/>
              </w:rPr>
            </w:r>
          </w:p>
        </w:tc>
        <w:tc>
          <w:tcPr>
            <w:tcW w:type="dxa" w:w="864"/>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Overall decision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Risk rating</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Monitoring conditions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D Employee Acknowledgement</w:t>
      </w:r>
    </w:p>
    <w:p>
      <w:r>
        <w:t>I acknowledge that I have received or can access the Anti Bribery and Corruption Policy. I understand that I must comply with it, seek advice when uncertain, maintain accurate records and promptly report suspected bribery, corruption, retaliation or attempts to bypass controls.</w:t>
      </w:r>
    </w:p>
    <w:p>
      <w:r>
        <w:t>☐ I have read and understood the policy.</w:t>
      </w:r>
    </w:p>
    <w:p>
      <w:r>
        <w:t>☐ I completed the required training or will do so by the assigned deadline.</w:t>
      </w:r>
    </w:p>
    <w:p>
      <w:r>
        <w:t>☐ I understand that bribery, facilitation payments, false records and retaliation are prohibited.</w:t>
      </w:r>
    </w:p>
    <w:p>
      <w:r>
        <w:t>☐ I disclosed relevant conflicts, gifts, outside interests and relationships as required.</w:t>
      </w:r>
    </w:p>
    <w:p>
      <w:r>
        <w:t>☐ I am not aware of an unreported policy breach, except as stated below.</w:t>
      </w:r>
    </w:p>
    <w:p>
      <w:r>
        <w:t>☐ I know how to obtain advice and make a confidential report.</w:t>
      </w:r>
    </w:p>
    <w:p>
      <w:r>
        <w:t>☐ I understand that a knowingly false certification may result in disciplinary action.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Employee name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Employee number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Role and department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Entity and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Disclosure or qualification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Signature or electronic confirmation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Manager Confirmation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Manager name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Outstanding disclosure reviewed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Action required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Confirmation and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Appendix E Implementation Checklist</w:t>
      </w:r>
    </w:p>
    <w:p>
      <w:r>
        <w:t>Before adoption, tailor this policy to applicable anti-bribery, public-sector, political-finance, employment, privacy, accounting, procurement, whistleblower, sanctions and sector-specific requirements. Insert the organisation’s thresholds, contacts, approval routes, registers and retention rules.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4464"/>
            <w:shd w:fill="17365D"/>
            <w:tcMar>
              <w:top w:w="65" w:type="dxa"/>
              <w:start w:w="65" w:type="dxa"/>
              <w:bottom w:w="65" w:type="dxa"/>
              <w:end w:w="65" w:type="dxa"/>
            </w:tcMar>
            <w:vAlign w:val="center"/>
          </w:tcPr>
          <w:p>
            <w:r>
              <w:rPr>
                <w:b/>
                <w:color w:val="FFFFFF"/>
                <w:sz w:val="12"/>
              </w:rPr>
              <w:t>Implementation item</w:t>
            </w:r>
          </w:p>
        </w:tc>
        <w:tc>
          <w:tcPr>
            <w:tcW w:type="dxa" w:w="1440"/>
            <w:shd w:fill="17365D"/>
            <w:tcMar>
              <w:top w:w="65" w:type="dxa"/>
              <w:start w:w="65" w:type="dxa"/>
              <w:bottom w:w="65" w:type="dxa"/>
              <w:end w:w="65" w:type="dxa"/>
            </w:tcMar>
            <w:vAlign w:val="center"/>
          </w:tcPr>
          <w:p>
            <w:r>
              <w:rPr>
                <w:b/>
                <w:color w:val="FFFFFF"/>
                <w:sz w:val="12"/>
              </w:rPr>
              <w:t>Owner</w:t>
            </w:r>
          </w:p>
        </w:tc>
        <w:tc>
          <w:tcPr>
            <w:tcW w:type="dxa" w:w="1008"/>
            <w:shd w:fill="17365D"/>
            <w:tcMar>
              <w:top w:w="65" w:type="dxa"/>
              <w:start w:w="65" w:type="dxa"/>
              <w:bottom w:w="65" w:type="dxa"/>
              <w:end w:w="65" w:type="dxa"/>
            </w:tcMar>
            <w:vAlign w:val="center"/>
          </w:tcPr>
          <w:p>
            <w:r>
              <w:rPr>
                <w:b/>
                <w:color w:val="FFFFFF"/>
                <w:sz w:val="12"/>
              </w:rPr>
              <w:t>Completed</w:t>
            </w:r>
          </w:p>
        </w:tc>
        <w:tc>
          <w:tcPr>
            <w:tcW w:type="dxa" w:w="2880"/>
            <w:shd w:fill="17365D"/>
            <w:tcMar>
              <w:top w:w="65" w:type="dxa"/>
              <w:start w:w="65" w:type="dxa"/>
              <w:bottom w:w="65" w:type="dxa"/>
              <w:end w:w="65" w:type="dxa"/>
            </w:tcMar>
            <w:vAlign w:val="center"/>
          </w:tcPr>
          <w:p>
            <w:r>
              <w:rPr>
                <w:b/>
                <w:color w:val="FFFFFF"/>
                <w:sz w:val="12"/>
              </w:rPr>
              <w:t>Evidence or reference</w:t>
            </w:r>
          </w:p>
        </w:tc>
      </w:tr>
      <w:tr>
        <w:trPr>
          <w:cantSplit/>
        </w:trPr>
        <w:tc>
          <w:tcPr>
            <w:tcW w:type="dxa" w:w="4464"/>
            <w:tcMar>
              <w:top w:w="65" w:type="dxa"/>
              <w:start w:w="65" w:type="dxa"/>
              <w:bottom w:w="65" w:type="dxa"/>
              <w:end w:w="65" w:type="dxa"/>
            </w:tcMar>
            <w:vAlign w:val="center"/>
          </w:tcPr>
          <w:p>
            <w:pPr>
              <w:spacing w:after="0" w:line="235" w:lineRule="auto"/>
            </w:pPr>
            <w:r>
              <w:rPr>
                <w:sz w:val="12"/>
              </w:rPr>
              <w:t>Risk assessment and legal mapping completed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Entities, countries and associated persons defined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Public-official definition and interaction rules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Gifts, hospitality and travel thresholds inserted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Donations, sponsorship and political rules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Third-party due diligence and contracting process active</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Payment and books-and-records controls aligned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Conflicts and registers configured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Reporting, investigation and non-retaliation process active</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Training and certification assigned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464"/>
            <w:tcMar>
              <w:top w:w="65" w:type="dxa"/>
              <w:start w:w="65" w:type="dxa"/>
              <w:bottom w:w="65" w:type="dxa"/>
              <w:end w:w="65" w:type="dxa"/>
            </w:tcMar>
            <w:vAlign w:val="center"/>
          </w:tcPr>
          <w:p>
            <w:pPr>
              <w:spacing w:after="0" w:line="235" w:lineRule="auto"/>
            </w:pPr>
            <w:r>
              <w:rPr>
                <w:sz w:val="12"/>
              </w:rPr>
              <w:t>Monitoring and board reporting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08"/>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464"/>
            <w:tcMar>
              <w:top w:w="65" w:type="dxa"/>
              <w:start w:w="65" w:type="dxa"/>
              <w:bottom w:w="65" w:type="dxa"/>
              <w:end w:w="65" w:type="dxa"/>
            </w:tcMar>
            <w:vAlign w:val="center"/>
            <w:shd w:fill="F4F7FA"/>
          </w:tcPr>
          <w:p>
            <w:pPr>
              <w:spacing w:after="0" w:line="235" w:lineRule="auto"/>
            </w:pPr>
            <w:r>
              <w:rPr>
                <w:sz w:val="12"/>
              </w:rPr>
              <w:t>Local supplements legally reviewed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08"/>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304"/>
            <w:shd w:fill="17365D"/>
            <w:tcMar>
              <w:top w:w="65" w:type="dxa"/>
              <w:start w:w="65" w:type="dxa"/>
              <w:bottom w:w="65" w:type="dxa"/>
              <w:end w:w="65" w:type="dxa"/>
            </w:tcMar>
            <w:vAlign w:val="center"/>
          </w:tcPr>
          <w:p>
            <w:r>
              <w:rPr>
                <w:b/>
                <w:color w:val="FFFFFF"/>
                <w:sz w:val="12"/>
              </w:rPr>
              <w:t>Role</w:t>
            </w:r>
          </w:p>
        </w:tc>
        <w:tc>
          <w:tcPr>
            <w:tcW w:type="dxa" w:w="1728"/>
            <w:shd w:fill="17365D"/>
            <w:tcMar>
              <w:top w:w="65" w:type="dxa"/>
              <w:start w:w="65" w:type="dxa"/>
              <w:bottom w:w="65" w:type="dxa"/>
              <w:end w:w="65" w:type="dxa"/>
            </w:tcMar>
            <w:vAlign w:val="center"/>
          </w:tcPr>
          <w:p>
            <w:r>
              <w:rPr>
                <w:b/>
                <w:color w:val="FFFFFF"/>
                <w:sz w:val="12"/>
              </w:rPr>
              <w:t>Name</w:t>
            </w:r>
          </w:p>
        </w:tc>
        <w:tc>
          <w:tcPr>
            <w:tcW w:type="dxa" w:w="2016"/>
            <w:shd w:fill="17365D"/>
            <w:tcMar>
              <w:top w:w="65" w:type="dxa"/>
              <w:start w:w="65" w:type="dxa"/>
              <w:bottom w:w="65" w:type="dxa"/>
              <w:end w:w="65" w:type="dxa"/>
            </w:tcMar>
            <w:vAlign w:val="center"/>
          </w:tcPr>
          <w:p>
            <w:r>
              <w:rPr>
                <w:b/>
                <w:color w:val="FFFFFF"/>
                <w:sz w:val="12"/>
              </w:rPr>
              <w:t>Decision</w:t>
            </w:r>
          </w:p>
        </w:tc>
        <w:tc>
          <w:tcPr>
            <w:tcW w:type="dxa" w:w="2448"/>
            <w:shd w:fill="17365D"/>
            <w:tcMar>
              <w:top w:w="65" w:type="dxa"/>
              <w:start w:w="65" w:type="dxa"/>
              <w:bottom w:w="65" w:type="dxa"/>
              <w:end w:w="65" w:type="dxa"/>
            </w:tcMar>
            <w:vAlign w:val="center"/>
          </w:tcPr>
          <w:p>
            <w:r>
              <w:rPr>
                <w:b/>
                <w:color w:val="FFFFFF"/>
                <w:sz w:val="12"/>
              </w:rPr>
              <w:t>Signature or confirmation</w:t>
            </w:r>
          </w:p>
        </w:tc>
        <w:tc>
          <w:tcPr>
            <w:tcW w:type="dxa" w:w="1296"/>
            <w:shd w:fill="17365D"/>
            <w:tcMar>
              <w:top w:w="65" w:type="dxa"/>
              <w:start w:w="65" w:type="dxa"/>
              <w:bottom w:w="65" w:type="dxa"/>
              <w:end w:w="65" w:type="dxa"/>
            </w:tcMar>
            <w:vAlign w:val="center"/>
          </w:tcPr>
          <w:p>
            <w:r>
              <w:rPr>
                <w:b/>
                <w:color w:val="FFFFFF"/>
                <w:sz w:val="12"/>
              </w:rPr>
              <w:t>Date</w:t>
            </w:r>
          </w:p>
        </w:tc>
      </w:tr>
      <w:tr>
        <w:trPr>
          <w:cantSplit/>
        </w:trPr>
        <w:tc>
          <w:tcPr>
            <w:tcW w:type="dxa" w:w="2304"/>
            <w:tcMar>
              <w:top w:w="65" w:type="dxa"/>
              <w:start w:w="65" w:type="dxa"/>
              <w:bottom w:w="65" w:type="dxa"/>
              <w:end w:w="65" w:type="dxa"/>
            </w:tcMar>
            <w:vAlign w:val="center"/>
          </w:tcPr>
          <w:p>
            <w:pPr>
              <w:spacing w:after="0" w:line="235" w:lineRule="auto"/>
            </w:pPr>
            <w:r>
              <w:rPr>
                <w:sz w:val="12"/>
              </w:rPr>
              <w:t>Policy owner</w:t>
            </w:r>
          </w:p>
        </w:tc>
        <w:tc>
          <w:tcPr>
            <w:tcW w:type="dxa" w:w="1728"/>
            <w:tcMar>
              <w:top w:w="65" w:type="dxa"/>
              <w:start w:w="65" w:type="dxa"/>
              <w:bottom w:w="65" w:type="dxa"/>
              <w:end w:w="65" w:type="dxa"/>
            </w:tcMar>
            <w:vAlign w:val="center"/>
          </w:tcPr>
          <w:p>
            <w:pPr>
              <w:spacing w:after="0" w:line="235" w:lineRule="auto"/>
            </w:pPr>
            <w:r>
              <w:rPr>
                <w:sz w:val="12"/>
              </w:rPr>
            </w:r>
          </w:p>
        </w:tc>
        <w:tc>
          <w:tcPr>
            <w:tcW w:type="dxa" w:w="2016"/>
            <w:tcMar>
              <w:top w:w="65" w:type="dxa"/>
              <w:start w:w="65" w:type="dxa"/>
              <w:bottom w:w="65" w:type="dxa"/>
              <w:end w:w="65" w:type="dxa"/>
            </w:tcMar>
            <w:vAlign w:val="center"/>
          </w:tcPr>
          <w:p>
            <w:pPr>
              <w:spacing w:after="0" w:line="235" w:lineRule="auto"/>
            </w:pPr>
            <w:r>
              <w:rPr>
                <w:sz w:val="12"/>
              </w:rPr>
              <w:t>Approve or return</w:t>
            </w:r>
          </w:p>
        </w:tc>
        <w:tc>
          <w:tcPr>
            <w:tcW w:type="dxa" w:w="2448"/>
            <w:tcMar>
              <w:top w:w="65" w:type="dxa"/>
              <w:start w:w="65" w:type="dxa"/>
              <w:bottom w:w="65" w:type="dxa"/>
              <w:end w:w="65" w:type="dxa"/>
            </w:tcMar>
            <w:vAlign w:val="center"/>
          </w:tcPr>
          <w:p>
            <w:pPr>
              <w:spacing w:after="0" w:line="235" w:lineRule="auto"/>
            </w:pPr>
            <w:r>
              <w:rPr>
                <w:sz w:val="12"/>
              </w:rPr>
            </w:r>
          </w:p>
        </w:tc>
        <w:tc>
          <w:tcPr>
            <w:tcW w:type="dxa" w:w="1296"/>
            <w:tcMar>
              <w:top w:w="65" w:type="dxa"/>
              <w:start w:w="65" w:type="dxa"/>
              <w:bottom w:w="65" w:type="dxa"/>
              <w:end w:w="65" w:type="dxa"/>
            </w:tcMar>
            <w:vAlign w:val="center"/>
          </w:tcPr>
          <w:p>
            <w:pPr>
              <w:spacing w:after="0" w:line="235" w:lineRule="auto"/>
            </w:pPr>
            <w:r>
              <w:rPr>
                <w:sz w:val="12"/>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2"/>
              </w:rPr>
              <w:t>Legal and compliance</w:t>
            </w:r>
          </w:p>
        </w:tc>
        <w:tc>
          <w:tcPr>
            <w:tcW w:type="dxa" w:w="1728"/>
            <w:tcMar>
              <w:top w:w="65" w:type="dxa"/>
              <w:start w:w="65" w:type="dxa"/>
              <w:bottom w:w="65" w:type="dxa"/>
              <w:end w:w="65" w:type="dxa"/>
            </w:tcMar>
            <w:vAlign w:val="center"/>
            <w:shd w:fill="F4F7FA"/>
          </w:tcPr>
          <w:p>
            <w:pPr>
              <w:spacing w:after="0" w:line="235" w:lineRule="auto"/>
            </w:pPr>
            <w:r>
              <w:rPr>
                <w:sz w:val="12"/>
              </w:rPr>
            </w:r>
          </w:p>
        </w:tc>
        <w:tc>
          <w:tcPr>
            <w:tcW w:type="dxa" w:w="2016"/>
            <w:tcMar>
              <w:top w:w="65" w:type="dxa"/>
              <w:start w:w="65" w:type="dxa"/>
              <w:bottom w:w="65" w:type="dxa"/>
              <w:end w:w="65" w:type="dxa"/>
            </w:tcMar>
            <w:vAlign w:val="center"/>
            <w:shd w:fill="F4F7FA"/>
          </w:tcPr>
          <w:p>
            <w:pPr>
              <w:spacing w:after="0" w:line="235" w:lineRule="auto"/>
            </w:pPr>
            <w:r>
              <w:rPr>
                <w:sz w:val="12"/>
              </w:rPr>
              <w:t>Approve or qualify</w:t>
            </w:r>
          </w:p>
        </w:tc>
        <w:tc>
          <w:tcPr>
            <w:tcW w:type="dxa" w:w="2448"/>
            <w:tcMar>
              <w:top w:w="65" w:type="dxa"/>
              <w:start w:w="65" w:type="dxa"/>
              <w:bottom w:w="65" w:type="dxa"/>
              <w:end w:w="65" w:type="dxa"/>
            </w:tcMar>
            <w:vAlign w:val="center"/>
            <w:shd w:fill="F4F7FA"/>
          </w:tcPr>
          <w:p>
            <w:pPr>
              <w:spacing w:after="0" w:line="235" w:lineRule="auto"/>
            </w:pPr>
            <w:r>
              <w:rPr>
                <w:sz w:val="12"/>
              </w:rPr>
            </w:r>
          </w:p>
        </w:tc>
        <w:tc>
          <w:tcPr>
            <w:tcW w:type="dxa" w:w="1296"/>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2304"/>
            <w:tcMar>
              <w:top w:w="65" w:type="dxa"/>
              <w:start w:w="65" w:type="dxa"/>
              <w:bottom w:w="65" w:type="dxa"/>
              <w:end w:w="65" w:type="dxa"/>
            </w:tcMar>
            <w:vAlign w:val="center"/>
          </w:tcPr>
          <w:p>
            <w:pPr>
              <w:spacing w:after="0" w:line="235" w:lineRule="auto"/>
            </w:pPr>
            <w:r>
              <w:rPr>
                <w:sz w:val="12"/>
              </w:rPr>
              <w:t>Finance and HR</w:t>
            </w:r>
          </w:p>
        </w:tc>
        <w:tc>
          <w:tcPr>
            <w:tcW w:type="dxa" w:w="1728"/>
            <w:tcMar>
              <w:top w:w="65" w:type="dxa"/>
              <w:start w:w="65" w:type="dxa"/>
              <w:bottom w:w="65" w:type="dxa"/>
              <w:end w:w="65" w:type="dxa"/>
            </w:tcMar>
            <w:vAlign w:val="center"/>
          </w:tcPr>
          <w:p>
            <w:pPr>
              <w:spacing w:after="0" w:line="235" w:lineRule="auto"/>
            </w:pPr>
            <w:r>
              <w:rPr>
                <w:sz w:val="12"/>
              </w:rPr>
            </w:r>
          </w:p>
        </w:tc>
        <w:tc>
          <w:tcPr>
            <w:tcW w:type="dxa" w:w="2016"/>
            <w:tcMar>
              <w:top w:w="65" w:type="dxa"/>
              <w:start w:w="65" w:type="dxa"/>
              <w:bottom w:w="65" w:type="dxa"/>
              <w:end w:w="65" w:type="dxa"/>
            </w:tcMar>
            <w:vAlign w:val="center"/>
          </w:tcPr>
          <w:p>
            <w:pPr>
              <w:spacing w:after="0" w:line="235" w:lineRule="auto"/>
            </w:pPr>
            <w:r>
              <w:rPr>
                <w:sz w:val="12"/>
              </w:rPr>
              <w:t>Approve or qualify</w:t>
            </w:r>
          </w:p>
        </w:tc>
        <w:tc>
          <w:tcPr>
            <w:tcW w:type="dxa" w:w="2448"/>
            <w:tcMar>
              <w:top w:w="65" w:type="dxa"/>
              <w:start w:w="65" w:type="dxa"/>
              <w:bottom w:w="65" w:type="dxa"/>
              <w:end w:w="65" w:type="dxa"/>
            </w:tcMar>
            <w:vAlign w:val="center"/>
          </w:tcPr>
          <w:p>
            <w:pPr>
              <w:spacing w:after="0" w:line="235" w:lineRule="auto"/>
            </w:pPr>
            <w:r>
              <w:rPr>
                <w:sz w:val="12"/>
              </w:rPr>
            </w:r>
          </w:p>
        </w:tc>
        <w:tc>
          <w:tcPr>
            <w:tcW w:type="dxa" w:w="1296"/>
            <w:tcMar>
              <w:top w:w="65" w:type="dxa"/>
              <w:start w:w="65" w:type="dxa"/>
              <w:bottom w:w="65" w:type="dxa"/>
              <w:end w:w="65" w:type="dxa"/>
            </w:tcMar>
            <w:vAlign w:val="center"/>
          </w:tcPr>
          <w:p>
            <w:pPr>
              <w:spacing w:after="0" w:line="235" w:lineRule="auto"/>
            </w:pPr>
            <w:r>
              <w:rPr>
                <w:sz w:val="12"/>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2"/>
              </w:rPr>
              <w:t>Board or governing body</w:t>
            </w:r>
          </w:p>
        </w:tc>
        <w:tc>
          <w:tcPr>
            <w:tcW w:type="dxa" w:w="1728"/>
            <w:tcMar>
              <w:top w:w="65" w:type="dxa"/>
              <w:start w:w="65" w:type="dxa"/>
              <w:bottom w:w="65" w:type="dxa"/>
              <w:end w:w="65" w:type="dxa"/>
            </w:tcMar>
            <w:vAlign w:val="center"/>
            <w:shd w:fill="F4F7FA"/>
          </w:tcPr>
          <w:p>
            <w:pPr>
              <w:spacing w:after="0" w:line="235" w:lineRule="auto"/>
            </w:pPr>
            <w:r>
              <w:rPr>
                <w:sz w:val="12"/>
              </w:rPr>
            </w:r>
          </w:p>
        </w:tc>
        <w:tc>
          <w:tcPr>
            <w:tcW w:type="dxa" w:w="2016"/>
            <w:tcMar>
              <w:top w:w="65" w:type="dxa"/>
              <w:start w:w="65" w:type="dxa"/>
              <w:bottom w:w="65" w:type="dxa"/>
              <w:end w:w="65" w:type="dxa"/>
            </w:tcMar>
            <w:vAlign w:val="center"/>
            <w:shd w:fill="F4F7FA"/>
          </w:tcPr>
          <w:p>
            <w:pPr>
              <w:spacing w:after="0" w:line="235" w:lineRule="auto"/>
            </w:pPr>
            <w:r>
              <w:rPr>
                <w:sz w:val="12"/>
              </w:rPr>
              <w:t>Approve or return</w:t>
            </w:r>
          </w:p>
        </w:tc>
        <w:tc>
          <w:tcPr>
            <w:tcW w:type="dxa" w:w="2448"/>
            <w:tcMar>
              <w:top w:w="65" w:type="dxa"/>
              <w:start w:w="65" w:type="dxa"/>
              <w:bottom w:w="65" w:type="dxa"/>
              <w:end w:w="65" w:type="dxa"/>
            </w:tcMar>
            <w:vAlign w:val="center"/>
            <w:shd w:fill="F4F7FA"/>
          </w:tcPr>
          <w:p>
            <w:pPr>
              <w:spacing w:after="0" w:line="235" w:lineRule="auto"/>
            </w:pPr>
            <w:r>
              <w:rPr>
                <w:sz w:val="12"/>
              </w:rPr>
            </w:r>
          </w:p>
        </w:tc>
        <w:tc>
          <w:tcPr>
            <w:tcW w:type="dxa" w:w="1296"/>
            <w:tcMar>
              <w:top w:w="65" w:type="dxa"/>
              <w:start w:w="65" w:type="dxa"/>
              <w:bottom w:w="65" w:type="dxa"/>
              <w:end w:w="65" w:type="dxa"/>
            </w:tcMar>
            <w:vAlign w:val="center"/>
            <w:shd w:fill="F4F7FA"/>
          </w:tcPr>
          <w:p>
            <w:pPr>
              <w:spacing w:after="0" w:line="235"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3"/>
              </w:rPr>
              <w:t>Field</w:t>
            </w:r>
          </w:p>
        </w:tc>
        <w:tc>
          <w:tcPr>
            <w:tcW w:type="dxa" w:w="6552"/>
            <w:shd w:fill="17365D"/>
            <w:tcMar>
              <w:top w:w="65" w:type="dxa"/>
              <w:start w:w="65" w:type="dxa"/>
              <w:bottom w:w="65" w:type="dxa"/>
              <w:end w:w="65" w:type="dxa"/>
            </w:tcMar>
            <w:vAlign w:val="center"/>
          </w:tcPr>
          <w:p>
            <w:r>
              <w:rPr>
                <w:b/>
                <w:color w:val="FFFFFF"/>
                <w:sz w:val="13"/>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3"/>
              </w:rPr>
              <w:t>Effective date</w:t>
            </w:r>
          </w:p>
        </w:tc>
        <w:tc>
          <w:tcPr>
            <w:tcW w:type="dxa" w:w="6552"/>
            <w:tcMar>
              <w:top w:w="65" w:type="dxa"/>
              <w:start w:w="65" w:type="dxa"/>
              <w:bottom w:w="65" w:type="dxa"/>
              <w:end w:w="65" w:type="dxa"/>
            </w:tcMar>
            <w:vAlign w:val="center"/>
          </w:tcPr>
          <w:p>
            <w:pPr>
              <w:spacing w:after="0" w:line="235" w:lineRule="auto"/>
            </w:pPr>
            <w:r>
              <w:rPr>
                <w:sz w:val="13"/>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3"/>
              </w:rPr>
              <w:t>Publication location</w:t>
            </w:r>
          </w:p>
        </w:tc>
        <w:tc>
          <w:tcPr>
            <w:tcW w:type="dxa" w:w="6552"/>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3240"/>
            <w:tcMar>
              <w:top w:w="65" w:type="dxa"/>
              <w:start w:w="65" w:type="dxa"/>
              <w:bottom w:w="65" w:type="dxa"/>
              <w:end w:w="65" w:type="dxa"/>
            </w:tcMar>
            <w:vAlign w:val="center"/>
          </w:tcPr>
          <w:p>
            <w:pPr>
              <w:spacing w:after="0" w:line="235" w:lineRule="auto"/>
            </w:pPr>
            <w:r>
              <w:rPr>
                <w:sz w:val="13"/>
              </w:rPr>
              <w:t>Next review date</w:t>
            </w:r>
          </w:p>
        </w:tc>
        <w:tc>
          <w:tcPr>
            <w:tcW w:type="dxa" w:w="6552"/>
            <w:tcMar>
              <w:top w:w="65" w:type="dxa"/>
              <w:start w:w="65" w:type="dxa"/>
              <w:bottom w:w="65" w:type="dxa"/>
              <w:end w:w="65" w:type="dxa"/>
            </w:tcMar>
            <w:vAlign w:val="center"/>
          </w:tcPr>
          <w:p>
            <w:pPr>
              <w:spacing w:after="0" w:line="235" w:lineRule="auto"/>
            </w:pPr>
            <w:r>
              <w:rPr>
                <w:sz w:val="13"/>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3"/>
              </w:rPr>
              <w:t>Policy owner</w:t>
            </w:r>
          </w:p>
        </w:tc>
        <w:tc>
          <w:tcPr>
            <w:tcW w:type="dxa" w:w="6552"/>
            <w:tcMar>
              <w:top w:w="65" w:type="dxa"/>
              <w:start w:w="65" w:type="dxa"/>
              <w:bottom w:w="65" w:type="dxa"/>
              <w:end w:w="65" w:type="dxa"/>
            </w:tcMar>
            <w:vAlign w:val="center"/>
            <w:shd w:fill="F4F7FA"/>
          </w:tcPr>
          <w:p>
            <w:pPr>
              <w:spacing w:after="0" w:line="235" w:lineRule="auto"/>
            </w:pPr>
            <w:r>
              <w:rPr>
                <w:sz w:val="13"/>
              </w:rPr>
            </w:r>
          </w:p>
        </w:tc>
      </w:tr>
    </w:tbl>
    <w:p>
      <w:pPr>
        <w:spacing w:after="0"/>
      </w:pPr>
    </w:p>
    <w:sectPr w:rsidR="00FC693F" w:rsidRPr="0006063C" w:rsidSect="00034616">
      <w:headerReference w:type="default" r:id="rId9"/>
      <w:footerReference w:type="default" r:id="rId10"/>
      <w:pgSz w:w="12240" w:h="15840"/>
      <w:pgMar w:top="720"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policy template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ANTI BRIBERY AND CORRUPTION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 Bribery and Corruption Policy Template</dc:title>
  <dc:subject>Comprehensive prevention detection reporting investigation enforcement and oversight policy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